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38A5C" w14:textId="21215C08" w:rsidR="00071990" w:rsidRDefault="00071990" w:rsidP="44D50F15">
      <w:pPr>
        <w:pStyle w:val="Ttulo"/>
        <w:pBdr>
          <w:left w:val="single" w:sz="4" w:space="1" w:color="auto"/>
        </w:pBdr>
      </w:pPr>
      <w:r>
        <w:t xml:space="preserve">ANEXO 16: </w:t>
      </w:r>
      <w:r w:rsidR="00EF5469">
        <w:t>MEDICIÓN D</w:t>
      </w:r>
      <w:r>
        <w:t>EL RIESGO DE CONTRAPARTE</w:t>
      </w:r>
      <w:r w:rsidR="5042C700">
        <w:t xml:space="preserve"> </w:t>
      </w:r>
    </w:p>
    <w:p w14:paraId="06FAEF95" w14:textId="77777777" w:rsidR="00071990" w:rsidRDefault="00071990" w:rsidP="009E6CF2">
      <w:pPr>
        <w:pBdr>
          <w:left w:val="single" w:sz="4" w:space="1" w:color="auto"/>
        </w:pBdr>
        <w:ind w:left="720" w:hanging="720"/>
        <w:jc w:val="both"/>
      </w:pPr>
    </w:p>
    <w:p w14:paraId="65EC6668" w14:textId="7676EA29" w:rsidR="00071990" w:rsidRPr="00071990" w:rsidRDefault="00071990" w:rsidP="009E6CF2">
      <w:pPr>
        <w:pStyle w:val="Prrafodelista"/>
        <w:numPr>
          <w:ilvl w:val="0"/>
          <w:numId w:val="2"/>
        </w:numPr>
        <w:pBdr>
          <w:left w:val="single" w:sz="4" w:space="1" w:color="auto"/>
        </w:pBdr>
        <w:ind w:left="426" w:hanging="426"/>
        <w:jc w:val="both"/>
        <w:rPr>
          <w:rFonts w:ascii="Arial" w:hAnsi="Arial" w:cs="Arial"/>
          <w:b/>
          <w:bCs/>
          <w:sz w:val="18"/>
          <w:szCs w:val="18"/>
        </w:rPr>
      </w:pPr>
      <w:r>
        <w:rPr>
          <w:rFonts w:ascii="Arial" w:hAnsi="Arial" w:cs="Arial"/>
          <w:b/>
          <w:bCs/>
          <w:sz w:val="18"/>
          <w:szCs w:val="18"/>
        </w:rPr>
        <w:t xml:space="preserve">Consideraciones Generales </w:t>
      </w:r>
    </w:p>
    <w:p w14:paraId="471652F7" w14:textId="061656BC" w:rsidR="00071990" w:rsidRPr="009E6CF2" w:rsidRDefault="00071990"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En el presente Anexo se establecen las métricas</w:t>
      </w:r>
      <w:r w:rsidR="007D7A02" w:rsidRPr="009E6CF2">
        <w:rPr>
          <w:rFonts w:ascii="Arial" w:hAnsi="Arial" w:cs="Arial"/>
          <w:b/>
          <w:bCs/>
          <w:sz w:val="18"/>
          <w:szCs w:val="18"/>
        </w:rPr>
        <w:t xml:space="preserve"> mínimas que deben contemplar los modelos int</w:t>
      </w:r>
      <w:r w:rsidR="001F0300" w:rsidRPr="009E6CF2">
        <w:rPr>
          <w:rFonts w:ascii="Arial" w:hAnsi="Arial" w:cs="Arial"/>
          <w:b/>
          <w:bCs/>
          <w:sz w:val="18"/>
          <w:szCs w:val="18"/>
        </w:rPr>
        <w:t>e</w:t>
      </w:r>
      <w:r w:rsidR="007D7A02" w:rsidRPr="009E6CF2">
        <w:rPr>
          <w:rFonts w:ascii="Arial" w:hAnsi="Arial" w:cs="Arial"/>
          <w:b/>
          <w:bCs/>
          <w:sz w:val="18"/>
          <w:szCs w:val="18"/>
        </w:rPr>
        <w:t xml:space="preserve">rnos de las entidades </w:t>
      </w:r>
      <w:r w:rsidRPr="009E6CF2">
        <w:rPr>
          <w:rFonts w:ascii="Arial" w:hAnsi="Arial" w:cs="Arial"/>
          <w:b/>
          <w:bCs/>
          <w:sz w:val="18"/>
          <w:szCs w:val="18"/>
        </w:rPr>
        <w:t xml:space="preserve">para valorar y dimensionar la probabilidad de ocurrencia o materialización del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y su posible impacto en los resultados </w:t>
      </w:r>
      <w:r w:rsidR="000E2A6A" w:rsidRPr="009E6CF2">
        <w:rPr>
          <w:rFonts w:ascii="Arial" w:hAnsi="Arial" w:cs="Arial"/>
          <w:b/>
          <w:bCs/>
          <w:sz w:val="18"/>
          <w:szCs w:val="18"/>
        </w:rPr>
        <w:t>y liquidez</w:t>
      </w:r>
      <w:r w:rsidRPr="009E6CF2">
        <w:rPr>
          <w:rFonts w:ascii="Arial" w:hAnsi="Arial" w:cs="Arial"/>
          <w:b/>
          <w:bCs/>
          <w:sz w:val="18"/>
          <w:szCs w:val="18"/>
        </w:rPr>
        <w:t>.</w:t>
      </w:r>
    </w:p>
    <w:p w14:paraId="2F5CD7B9" w14:textId="77777777" w:rsidR="00071990" w:rsidRPr="009E6CF2" w:rsidRDefault="00071990" w:rsidP="009E6CF2">
      <w:pPr>
        <w:pBdr>
          <w:left w:val="single" w:sz="4" w:space="1" w:color="auto"/>
        </w:pBdr>
        <w:jc w:val="both"/>
        <w:rPr>
          <w:b/>
          <w:bCs/>
        </w:rPr>
      </w:pPr>
      <w:r w:rsidRPr="009E6CF2">
        <w:rPr>
          <w:rFonts w:ascii="Arial" w:hAnsi="Arial" w:cs="Arial"/>
          <w:b/>
          <w:bCs/>
          <w:sz w:val="18"/>
          <w:szCs w:val="18"/>
        </w:rPr>
        <w:t xml:space="preserve">La medición del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asociado a las operaciones de derivados financieros y productos estructurados se realizará de conformidad con las reglas previstas en el Anexo 3 del Capítulo XVIII de la presente Circular.</w:t>
      </w:r>
    </w:p>
    <w:p w14:paraId="0A2B049E" w14:textId="4291C04A" w:rsidR="00071990" w:rsidRPr="009E6CF2" w:rsidRDefault="00071990"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 xml:space="preserve">Para las demás operaciones expuestas al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las entidades deben implementar, </w:t>
      </w:r>
      <w:r w:rsidR="001F0300" w:rsidRPr="009E6CF2">
        <w:rPr>
          <w:rFonts w:ascii="Arial" w:hAnsi="Arial" w:cs="Arial"/>
          <w:b/>
          <w:bCs/>
          <w:sz w:val="18"/>
          <w:szCs w:val="18"/>
        </w:rPr>
        <w:t>como</w:t>
      </w:r>
      <w:r w:rsidRPr="009E6CF2">
        <w:rPr>
          <w:rFonts w:ascii="Arial" w:hAnsi="Arial" w:cs="Arial"/>
          <w:b/>
          <w:bCs/>
          <w:sz w:val="18"/>
          <w:szCs w:val="18"/>
        </w:rPr>
        <w:t xml:space="preserve"> mínimo, las métricas que se indican a continuación.</w:t>
      </w:r>
    </w:p>
    <w:p w14:paraId="268C5678" w14:textId="1EE8E083" w:rsidR="00071990" w:rsidRPr="009E6CF2" w:rsidRDefault="00071990" w:rsidP="009E6CF2">
      <w:pPr>
        <w:pStyle w:val="Prrafodelista"/>
        <w:numPr>
          <w:ilvl w:val="0"/>
          <w:numId w:val="2"/>
        </w:numPr>
        <w:pBdr>
          <w:left w:val="single" w:sz="4" w:space="1" w:color="auto"/>
        </w:pBdr>
        <w:ind w:left="426" w:hanging="426"/>
        <w:jc w:val="both"/>
        <w:rPr>
          <w:rFonts w:ascii="Arial" w:hAnsi="Arial" w:cs="Arial"/>
          <w:b/>
          <w:bCs/>
          <w:sz w:val="18"/>
          <w:szCs w:val="18"/>
        </w:rPr>
      </w:pPr>
      <w:r w:rsidRPr="009E6CF2">
        <w:rPr>
          <w:rFonts w:ascii="Arial" w:hAnsi="Arial" w:cs="Arial"/>
          <w:b/>
          <w:bCs/>
          <w:sz w:val="18"/>
          <w:szCs w:val="18"/>
        </w:rPr>
        <w:t>Exposición Bruta</w:t>
      </w:r>
    </w:p>
    <w:p w14:paraId="70DDF862" w14:textId="41A342EB" w:rsidR="00071990" w:rsidRPr="009E6CF2" w:rsidRDefault="00071990"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 xml:space="preserve">Es el valor agregado del valor </w:t>
      </w:r>
      <w:r w:rsidR="00CD6B17" w:rsidRPr="009E6CF2">
        <w:rPr>
          <w:rFonts w:ascii="Arial" w:hAnsi="Arial" w:cs="Arial"/>
          <w:b/>
          <w:bCs/>
          <w:sz w:val="18"/>
          <w:szCs w:val="18"/>
        </w:rPr>
        <w:t>razonable</w:t>
      </w:r>
      <w:r w:rsidRPr="009E6CF2">
        <w:rPr>
          <w:rFonts w:ascii="Arial" w:hAnsi="Arial" w:cs="Arial"/>
          <w:b/>
          <w:bCs/>
          <w:sz w:val="18"/>
          <w:szCs w:val="18"/>
        </w:rPr>
        <w:t xml:space="preserve"> de todas las </w:t>
      </w:r>
      <w:r w:rsidR="006039C0" w:rsidRPr="009E6CF2">
        <w:rPr>
          <w:rFonts w:ascii="Arial" w:hAnsi="Arial" w:cs="Arial"/>
          <w:b/>
          <w:bCs/>
          <w:sz w:val="18"/>
          <w:szCs w:val="18"/>
        </w:rPr>
        <w:t>o</w:t>
      </w:r>
      <w:r w:rsidRPr="009E6CF2">
        <w:rPr>
          <w:rFonts w:ascii="Arial" w:hAnsi="Arial" w:cs="Arial"/>
          <w:b/>
          <w:bCs/>
          <w:sz w:val="18"/>
          <w:szCs w:val="18"/>
        </w:rPr>
        <w:t xml:space="preserve">peraciones </w:t>
      </w:r>
      <w:r w:rsidR="003B759C" w:rsidRPr="009E6CF2">
        <w:rPr>
          <w:rFonts w:ascii="Arial" w:hAnsi="Arial" w:cs="Arial"/>
          <w:b/>
          <w:bCs/>
          <w:sz w:val="18"/>
          <w:szCs w:val="18"/>
        </w:rPr>
        <w:t xml:space="preserve">y posiciones abiertas </w:t>
      </w:r>
      <w:r w:rsidR="006039C0" w:rsidRPr="009E6CF2">
        <w:rPr>
          <w:rFonts w:ascii="Arial" w:hAnsi="Arial" w:cs="Arial"/>
          <w:b/>
          <w:bCs/>
          <w:sz w:val="18"/>
          <w:szCs w:val="18"/>
        </w:rPr>
        <w:t>e</w:t>
      </w:r>
      <w:r w:rsidRPr="009E6CF2">
        <w:rPr>
          <w:rFonts w:ascii="Arial" w:hAnsi="Arial" w:cs="Arial"/>
          <w:b/>
          <w:bCs/>
          <w:sz w:val="18"/>
          <w:szCs w:val="18"/>
        </w:rPr>
        <w:t xml:space="preserve">xpuestas a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con un mismo </w:t>
      </w:r>
      <w:r w:rsidR="00332D72" w:rsidRPr="009E6CF2">
        <w:rPr>
          <w:rFonts w:ascii="Arial" w:hAnsi="Arial" w:cs="Arial"/>
          <w:b/>
          <w:bCs/>
          <w:sz w:val="18"/>
          <w:szCs w:val="18"/>
        </w:rPr>
        <w:t>tercero</w:t>
      </w:r>
      <w:r w:rsidRPr="009E6CF2">
        <w:rPr>
          <w:rFonts w:ascii="Arial" w:hAnsi="Arial" w:cs="Arial"/>
          <w:b/>
          <w:bCs/>
          <w:sz w:val="18"/>
          <w:szCs w:val="18"/>
        </w:rPr>
        <w:t xml:space="preserve"> o </w:t>
      </w:r>
      <w:r w:rsidR="006039C0" w:rsidRPr="009E6CF2">
        <w:rPr>
          <w:rFonts w:ascii="Arial" w:hAnsi="Arial" w:cs="Arial"/>
          <w:b/>
          <w:bCs/>
          <w:sz w:val="18"/>
          <w:szCs w:val="18"/>
        </w:rPr>
        <w:t>c</w:t>
      </w:r>
      <w:r w:rsidRPr="009E6CF2">
        <w:rPr>
          <w:rFonts w:ascii="Arial" w:hAnsi="Arial" w:cs="Arial"/>
          <w:b/>
          <w:bCs/>
          <w:sz w:val="18"/>
          <w:szCs w:val="18"/>
        </w:rPr>
        <w:t xml:space="preserve">ontraparte. </w:t>
      </w:r>
      <w:r w:rsidR="00F10EB1" w:rsidRPr="009E6CF2">
        <w:rPr>
          <w:rFonts w:ascii="Arial" w:hAnsi="Arial" w:cs="Arial"/>
          <w:b/>
          <w:bCs/>
          <w:sz w:val="18"/>
          <w:szCs w:val="18"/>
        </w:rPr>
        <w:t>La</w:t>
      </w:r>
      <w:r w:rsidRPr="009E6CF2">
        <w:rPr>
          <w:rFonts w:ascii="Arial" w:hAnsi="Arial" w:cs="Arial"/>
          <w:b/>
          <w:bCs/>
          <w:sz w:val="18"/>
          <w:szCs w:val="18"/>
        </w:rPr>
        <w:t xml:space="preserve"> exposición bruta se mide como:</w:t>
      </w:r>
    </w:p>
    <w:p w14:paraId="0E8EA9B0" w14:textId="1B67666B" w:rsidR="00071990" w:rsidRPr="009E6CF2" w:rsidRDefault="009E6CF2" w:rsidP="009E6CF2">
      <w:pPr>
        <w:pBdr>
          <w:left w:val="single" w:sz="4" w:space="1" w:color="auto"/>
        </w:pBdr>
        <w:jc w:val="both"/>
        <w:rPr>
          <w:rFonts w:ascii="Arial" w:hAnsi="Arial" w:cs="Arial"/>
          <w:b/>
          <w:bCs/>
          <w:sz w:val="18"/>
          <w:szCs w:val="18"/>
        </w:rPr>
      </w:pPr>
      <m:oMathPara>
        <m:oMath>
          <m:r>
            <m:rPr>
              <m:sty m:val="bi"/>
            </m:rPr>
            <w:rPr>
              <w:rFonts w:ascii="Cambria Math" w:hAnsi="Cambria Math" w:cs="Arial"/>
              <w:sz w:val="18"/>
              <w:szCs w:val="18"/>
            </w:rPr>
            <m:t>Exposición bruta=</m:t>
          </m:r>
          <m:nary>
            <m:naryPr>
              <m:chr m:val="∑"/>
              <m:limLoc m:val="undOvr"/>
              <m:ctrlPr>
                <w:rPr>
                  <w:rFonts w:ascii="Cambria Math" w:hAnsi="Cambria Math" w:cs="Arial"/>
                  <w:b/>
                  <w:bCs/>
                  <w:i/>
                  <w:sz w:val="18"/>
                  <w:szCs w:val="18"/>
                </w:rPr>
              </m:ctrlPr>
            </m:naryPr>
            <m:sub>
              <m:r>
                <m:rPr>
                  <m:sty m:val="bi"/>
                </m:rPr>
                <w:rPr>
                  <w:rFonts w:ascii="Cambria Math" w:hAnsi="Cambria Math" w:cs="Arial"/>
                  <w:sz w:val="18"/>
                  <w:szCs w:val="18"/>
                </w:rPr>
                <m:t>i=1</m:t>
              </m:r>
            </m:sub>
            <m:sup>
              <m:r>
                <m:rPr>
                  <m:sty m:val="bi"/>
                </m:rPr>
                <w:rPr>
                  <w:rFonts w:ascii="Cambria Math" w:hAnsi="Cambria Math" w:cs="Arial"/>
                  <w:sz w:val="18"/>
                  <w:szCs w:val="18"/>
                </w:rPr>
                <m:t>n</m:t>
              </m:r>
            </m:sup>
            <m:e>
              <m:sSub>
                <m:sSubPr>
                  <m:ctrlPr>
                    <w:rPr>
                      <w:rFonts w:ascii="Cambria Math" w:hAnsi="Cambria Math" w:cs="Arial"/>
                      <w:b/>
                      <w:bCs/>
                      <w:i/>
                      <w:sz w:val="18"/>
                      <w:szCs w:val="18"/>
                    </w:rPr>
                  </m:ctrlPr>
                </m:sSubPr>
                <m:e>
                  <m:r>
                    <m:rPr>
                      <m:sty m:val="bi"/>
                    </m:rPr>
                    <w:rPr>
                      <w:rFonts w:ascii="Cambria Math" w:hAnsi="Cambria Math" w:cs="Arial"/>
                      <w:sz w:val="18"/>
                      <w:szCs w:val="18"/>
                    </w:rPr>
                    <m:t>Valor  razonable</m:t>
                  </m:r>
                </m:e>
                <m:sub>
                  <m:r>
                    <m:rPr>
                      <m:sty m:val="bi"/>
                    </m:rPr>
                    <w:rPr>
                      <w:rFonts w:ascii="Cambria Math" w:hAnsi="Cambria Math" w:cs="Arial"/>
                      <w:sz w:val="18"/>
                      <w:szCs w:val="18"/>
                    </w:rPr>
                    <m:t>i</m:t>
                  </m:r>
                </m:sub>
              </m:sSub>
            </m:e>
          </m:nary>
        </m:oMath>
      </m:oMathPara>
    </w:p>
    <w:p w14:paraId="12106F93" w14:textId="18F95631" w:rsidR="00071990" w:rsidRPr="009E6CF2" w:rsidRDefault="009E22C4"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Donde</w:t>
      </w:r>
      <w:r w:rsidR="00071990" w:rsidRPr="009E6CF2">
        <w:rPr>
          <w:rFonts w:ascii="Arial" w:hAnsi="Arial" w:cs="Arial"/>
          <w:b/>
          <w:bCs/>
          <w:sz w:val="18"/>
          <w:szCs w:val="18"/>
        </w:rPr>
        <w:t>:</w:t>
      </w:r>
    </w:p>
    <w:p w14:paraId="3317A944" w14:textId="173D2C87" w:rsidR="003C0A52" w:rsidRPr="009E6CF2" w:rsidRDefault="009E6CF2" w:rsidP="009E6CF2">
      <w:pPr>
        <w:pBdr>
          <w:left w:val="single" w:sz="4" w:space="1" w:color="auto"/>
        </w:pBdr>
        <w:jc w:val="both"/>
        <w:rPr>
          <w:rFonts w:ascii="Arial" w:hAnsi="Arial" w:cs="Arial"/>
          <w:b/>
          <w:bCs/>
          <w:sz w:val="18"/>
          <w:szCs w:val="18"/>
        </w:rPr>
      </w:pPr>
      <m:oMath>
        <m:r>
          <m:rPr>
            <m:sty m:val="bi"/>
          </m:rPr>
          <w:rPr>
            <w:rFonts w:ascii="Cambria Math" w:hAnsi="Cambria Math" w:cs="Arial"/>
            <w:sz w:val="18"/>
            <w:szCs w:val="18"/>
          </w:rPr>
          <m:t>Exposición bruta</m:t>
        </m:r>
      </m:oMath>
      <w:r w:rsidR="003C0A52" w:rsidRPr="009E6CF2">
        <w:rPr>
          <w:rFonts w:ascii="Arial" w:eastAsiaTheme="minorEastAsia" w:hAnsi="Arial" w:cs="Arial"/>
          <w:b/>
          <w:bCs/>
          <w:sz w:val="18"/>
          <w:szCs w:val="18"/>
        </w:rPr>
        <w:t>: Corresponde al valor total de la exposición bruta</w:t>
      </w:r>
      <w:r w:rsidR="00332D72" w:rsidRPr="009E6CF2">
        <w:rPr>
          <w:rFonts w:ascii="Arial" w:eastAsiaTheme="minorEastAsia" w:hAnsi="Arial" w:cs="Arial"/>
          <w:b/>
          <w:bCs/>
          <w:sz w:val="18"/>
          <w:szCs w:val="18"/>
        </w:rPr>
        <w:t xml:space="preserve"> con un mismo tercero o contraparte</w:t>
      </w:r>
      <w:r w:rsidR="003C0A52" w:rsidRPr="009E6CF2">
        <w:rPr>
          <w:rFonts w:ascii="Arial" w:eastAsiaTheme="minorEastAsia" w:hAnsi="Arial" w:cs="Arial"/>
          <w:b/>
          <w:bCs/>
          <w:sz w:val="18"/>
          <w:szCs w:val="18"/>
        </w:rPr>
        <w:t>.</w:t>
      </w:r>
    </w:p>
    <w:p w14:paraId="3064AD09" w14:textId="3286BB2B" w:rsidR="00E712E0" w:rsidRPr="009E6CF2" w:rsidRDefault="009E6CF2" w:rsidP="009E6CF2">
      <w:pPr>
        <w:pBdr>
          <w:left w:val="single" w:sz="4" w:space="1" w:color="auto"/>
        </w:pBdr>
        <w:jc w:val="both"/>
        <w:rPr>
          <w:rFonts w:ascii="Arial" w:hAnsi="Arial" w:cs="Arial"/>
          <w:b/>
          <w:bCs/>
          <w:sz w:val="18"/>
          <w:szCs w:val="18"/>
        </w:rPr>
      </w:pPr>
      <m:oMath>
        <m:r>
          <m:rPr>
            <m:sty m:val="bi"/>
          </m:rPr>
          <w:rPr>
            <w:rFonts w:ascii="Cambria Math" w:hAnsi="Cambria Math" w:cs="Arial"/>
            <w:sz w:val="18"/>
            <w:szCs w:val="18"/>
          </w:rPr>
          <m:t>i</m:t>
        </m:r>
      </m:oMath>
      <w:r w:rsidR="00071990" w:rsidRPr="009E6CF2">
        <w:rPr>
          <w:rFonts w:ascii="Arial" w:hAnsi="Arial" w:cs="Arial"/>
          <w:b/>
          <w:bCs/>
          <w:sz w:val="18"/>
          <w:szCs w:val="18"/>
        </w:rPr>
        <w:t xml:space="preserve">: </w:t>
      </w:r>
      <w:r w:rsidR="0051022E" w:rsidRPr="009E6CF2">
        <w:rPr>
          <w:rFonts w:ascii="Arial" w:hAnsi="Arial" w:cs="Arial"/>
          <w:b/>
          <w:bCs/>
          <w:sz w:val="18"/>
          <w:szCs w:val="18"/>
        </w:rPr>
        <w:t>o</w:t>
      </w:r>
      <w:r w:rsidR="00071990" w:rsidRPr="009E6CF2">
        <w:rPr>
          <w:rFonts w:ascii="Arial" w:hAnsi="Arial" w:cs="Arial"/>
          <w:b/>
          <w:bCs/>
          <w:sz w:val="18"/>
          <w:szCs w:val="18"/>
        </w:rPr>
        <w:t xml:space="preserve">peración expuesta a </w:t>
      </w:r>
      <w:proofErr w:type="spellStart"/>
      <w:r w:rsidR="00071990" w:rsidRPr="009E6CF2">
        <w:rPr>
          <w:rFonts w:ascii="Arial" w:hAnsi="Arial" w:cs="Arial"/>
          <w:b/>
          <w:bCs/>
          <w:sz w:val="18"/>
          <w:szCs w:val="18"/>
        </w:rPr>
        <w:t>RiC</w:t>
      </w:r>
      <w:proofErr w:type="spellEnd"/>
      <w:r w:rsidR="00071990" w:rsidRPr="009E6CF2">
        <w:rPr>
          <w:rFonts w:ascii="Arial" w:hAnsi="Arial" w:cs="Arial"/>
          <w:b/>
          <w:bCs/>
          <w:sz w:val="18"/>
          <w:szCs w:val="18"/>
        </w:rPr>
        <w:t xml:space="preserve"> con un mismo </w:t>
      </w:r>
      <w:r>
        <w:rPr>
          <w:rFonts w:ascii="Arial" w:hAnsi="Arial" w:cs="Arial"/>
          <w:b/>
          <w:bCs/>
          <w:sz w:val="18"/>
          <w:szCs w:val="18"/>
        </w:rPr>
        <w:t>tercero</w:t>
      </w:r>
      <w:r w:rsidR="00071990" w:rsidRPr="009E6CF2">
        <w:rPr>
          <w:rFonts w:ascii="Arial" w:hAnsi="Arial" w:cs="Arial"/>
          <w:b/>
          <w:bCs/>
          <w:sz w:val="18"/>
          <w:szCs w:val="18"/>
        </w:rPr>
        <w:t xml:space="preserve"> o</w:t>
      </w:r>
      <w:r w:rsidR="00051274" w:rsidRPr="009E6CF2">
        <w:rPr>
          <w:rFonts w:ascii="Arial" w:hAnsi="Arial" w:cs="Arial"/>
          <w:b/>
          <w:bCs/>
          <w:sz w:val="18"/>
          <w:szCs w:val="18"/>
        </w:rPr>
        <w:t xml:space="preserve"> c</w:t>
      </w:r>
      <w:r w:rsidR="00071990" w:rsidRPr="009E6CF2">
        <w:rPr>
          <w:rFonts w:ascii="Arial" w:hAnsi="Arial" w:cs="Arial"/>
          <w:b/>
          <w:bCs/>
          <w:sz w:val="18"/>
          <w:szCs w:val="18"/>
        </w:rPr>
        <w:t>ontraparte</w:t>
      </w:r>
      <w:r w:rsidR="004265DC" w:rsidRPr="009E6CF2">
        <w:rPr>
          <w:rFonts w:ascii="Arial" w:hAnsi="Arial" w:cs="Arial"/>
          <w:b/>
          <w:bCs/>
          <w:sz w:val="18"/>
          <w:szCs w:val="18"/>
        </w:rPr>
        <w:t>.</w:t>
      </w:r>
    </w:p>
    <w:p w14:paraId="424A8B01" w14:textId="16905AFE" w:rsidR="00071990" w:rsidRPr="009E6CF2" w:rsidRDefault="009E6CF2" w:rsidP="009E6CF2">
      <w:pPr>
        <w:pBdr>
          <w:left w:val="single" w:sz="4" w:space="1" w:color="auto"/>
        </w:pBdr>
        <w:jc w:val="both"/>
        <w:rPr>
          <w:rFonts w:ascii="Arial" w:hAnsi="Arial" w:cs="Arial"/>
          <w:b/>
          <w:bCs/>
          <w:sz w:val="18"/>
          <w:szCs w:val="18"/>
        </w:rPr>
      </w:pPr>
      <m:oMath>
        <m:r>
          <m:rPr>
            <m:sty m:val="bi"/>
          </m:rPr>
          <w:rPr>
            <w:rFonts w:ascii="Cambria Math" w:hAnsi="Cambria Math" w:cs="Arial"/>
            <w:sz w:val="18"/>
            <w:szCs w:val="18"/>
          </w:rPr>
          <m:t>n</m:t>
        </m:r>
      </m:oMath>
      <w:r w:rsidR="00071990" w:rsidRPr="009E6CF2">
        <w:rPr>
          <w:rFonts w:ascii="Arial" w:hAnsi="Arial" w:cs="Arial"/>
          <w:b/>
          <w:bCs/>
          <w:sz w:val="18"/>
          <w:szCs w:val="18"/>
        </w:rPr>
        <w:t xml:space="preserve">: </w:t>
      </w:r>
      <w:r w:rsidR="0051022E" w:rsidRPr="009E6CF2">
        <w:rPr>
          <w:rFonts w:ascii="Arial" w:hAnsi="Arial" w:cs="Arial"/>
          <w:b/>
          <w:bCs/>
          <w:sz w:val="18"/>
          <w:szCs w:val="18"/>
        </w:rPr>
        <w:t>n</w:t>
      </w:r>
      <w:r w:rsidR="00071990" w:rsidRPr="009E6CF2">
        <w:rPr>
          <w:rFonts w:ascii="Arial" w:hAnsi="Arial" w:cs="Arial"/>
          <w:b/>
          <w:bCs/>
          <w:sz w:val="18"/>
          <w:szCs w:val="18"/>
        </w:rPr>
        <w:t xml:space="preserve">úmero total de operaciones expuestas a </w:t>
      </w:r>
      <w:proofErr w:type="spellStart"/>
      <w:r w:rsidR="00071990" w:rsidRPr="009E6CF2">
        <w:rPr>
          <w:rFonts w:ascii="Arial" w:hAnsi="Arial" w:cs="Arial"/>
          <w:b/>
          <w:bCs/>
          <w:sz w:val="18"/>
          <w:szCs w:val="18"/>
        </w:rPr>
        <w:t>RiC</w:t>
      </w:r>
      <w:proofErr w:type="spellEnd"/>
      <w:r w:rsidR="00071990" w:rsidRPr="009E6CF2">
        <w:rPr>
          <w:rFonts w:ascii="Arial" w:hAnsi="Arial" w:cs="Arial"/>
          <w:b/>
          <w:bCs/>
          <w:sz w:val="18"/>
          <w:szCs w:val="18"/>
        </w:rPr>
        <w:t xml:space="preserve"> con un mismo </w:t>
      </w:r>
      <w:r>
        <w:rPr>
          <w:rFonts w:ascii="Arial" w:hAnsi="Arial" w:cs="Arial"/>
          <w:b/>
          <w:bCs/>
          <w:sz w:val="18"/>
          <w:szCs w:val="18"/>
        </w:rPr>
        <w:t>tercero</w:t>
      </w:r>
      <w:r w:rsidR="00071990" w:rsidRPr="009E6CF2">
        <w:rPr>
          <w:rFonts w:ascii="Arial" w:hAnsi="Arial" w:cs="Arial"/>
          <w:b/>
          <w:bCs/>
          <w:sz w:val="18"/>
          <w:szCs w:val="18"/>
        </w:rPr>
        <w:t xml:space="preserve"> o </w:t>
      </w:r>
      <w:r w:rsidR="00C7374E" w:rsidRPr="009E6CF2">
        <w:rPr>
          <w:rFonts w:ascii="Arial" w:hAnsi="Arial" w:cs="Arial"/>
          <w:b/>
          <w:bCs/>
          <w:sz w:val="18"/>
          <w:szCs w:val="18"/>
        </w:rPr>
        <w:t>c</w:t>
      </w:r>
      <w:r w:rsidR="00071990" w:rsidRPr="009E6CF2">
        <w:rPr>
          <w:rFonts w:ascii="Arial" w:hAnsi="Arial" w:cs="Arial"/>
          <w:b/>
          <w:bCs/>
          <w:sz w:val="18"/>
          <w:szCs w:val="18"/>
        </w:rPr>
        <w:t>ontraparte</w:t>
      </w:r>
      <w:r>
        <w:rPr>
          <w:rFonts w:ascii="Arial" w:hAnsi="Arial" w:cs="Arial"/>
          <w:b/>
          <w:bCs/>
          <w:sz w:val="18"/>
          <w:szCs w:val="18"/>
        </w:rPr>
        <w:t>.</w:t>
      </w:r>
    </w:p>
    <w:p w14:paraId="5AA47A6D" w14:textId="61E21235" w:rsidR="006864F3" w:rsidRPr="009E6CF2" w:rsidRDefault="00C11031" w:rsidP="44D50F15">
      <w:pPr>
        <w:pBdr>
          <w:left w:val="single" w:sz="4" w:space="1" w:color="auto"/>
        </w:pBdr>
        <w:jc w:val="both"/>
        <w:rPr>
          <w:rFonts w:ascii="Arial"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Valor</m:t>
            </m:r>
            <m:r>
              <m:rPr>
                <m:sty m:val="bi"/>
              </m:rPr>
              <w:rPr>
                <w:rFonts w:ascii="Cambria Math" w:hAnsi="Cambria Math" w:cs="Arial"/>
                <w:sz w:val="18"/>
                <w:szCs w:val="18"/>
              </w:rPr>
              <m:t xml:space="preserve"> </m:t>
            </m:r>
            <m:r>
              <m:rPr>
                <m:sty m:val="bi"/>
              </m:rPr>
              <w:rPr>
                <w:rFonts w:ascii="Cambria Math" w:hAnsi="Cambria Math" w:cs="Arial"/>
                <w:sz w:val="18"/>
                <w:szCs w:val="18"/>
              </w:rPr>
              <m:t>razonable</m:t>
            </m:r>
          </m:e>
          <m:sub>
            <m:r>
              <m:rPr>
                <m:sty m:val="bi"/>
              </m:rPr>
              <w:rPr>
                <w:rFonts w:ascii="Cambria Math" w:hAnsi="Cambria Math" w:cs="Arial"/>
                <w:sz w:val="18"/>
                <w:szCs w:val="18"/>
              </w:rPr>
              <m:t>i</m:t>
            </m:r>
          </m:sub>
        </m:sSub>
      </m:oMath>
      <w:r w:rsidR="00B7231B" w:rsidRPr="009E6CF2">
        <w:rPr>
          <w:rFonts w:ascii="Arial" w:hAnsi="Arial" w:cs="Arial"/>
          <w:b/>
          <w:bCs/>
          <w:sz w:val="18"/>
          <w:szCs w:val="18"/>
        </w:rPr>
        <w:t xml:space="preserve">: </w:t>
      </w:r>
      <w:r w:rsidR="0051022E" w:rsidRPr="009E6CF2">
        <w:rPr>
          <w:rFonts w:ascii="Arial" w:hAnsi="Arial" w:cs="Arial"/>
          <w:b/>
          <w:bCs/>
          <w:sz w:val="18"/>
          <w:szCs w:val="18"/>
        </w:rPr>
        <w:t>c</w:t>
      </w:r>
      <w:r w:rsidR="00706836" w:rsidRPr="009E6CF2">
        <w:rPr>
          <w:rFonts w:ascii="Arial" w:hAnsi="Arial" w:cs="Arial"/>
          <w:b/>
          <w:bCs/>
          <w:sz w:val="18"/>
          <w:szCs w:val="18"/>
        </w:rPr>
        <w:t>orresponde al</w:t>
      </w:r>
      <w:r w:rsidR="00706836" w:rsidRPr="009E6CF2">
        <w:rPr>
          <w:rFonts w:ascii="Arial" w:hAnsi="Arial" w:cs="Arial"/>
          <w:b/>
          <w:bCs/>
          <w:i/>
          <w:iCs/>
          <w:sz w:val="18"/>
          <w:szCs w:val="18"/>
        </w:rPr>
        <w:t xml:space="preserve"> </w:t>
      </w:r>
      <w:r w:rsidR="00706836" w:rsidRPr="009E6CF2">
        <w:rPr>
          <w:rFonts w:ascii="Arial" w:hAnsi="Arial" w:cs="Arial"/>
          <w:b/>
          <w:bCs/>
          <w:sz w:val="18"/>
          <w:szCs w:val="18"/>
        </w:rPr>
        <w:t xml:space="preserve">valor razonable </w:t>
      </w:r>
      <w:r w:rsidR="00AE13A4" w:rsidRPr="009E6CF2">
        <w:rPr>
          <w:rFonts w:ascii="Arial" w:hAnsi="Arial" w:cs="Arial"/>
          <w:b/>
          <w:bCs/>
          <w:sz w:val="18"/>
          <w:szCs w:val="18"/>
        </w:rPr>
        <w:t xml:space="preserve">de la operación </w:t>
      </w:r>
      <w:r w:rsidR="00AE13A4" w:rsidRPr="009E6CF2">
        <w:rPr>
          <w:rFonts w:ascii="Arial" w:hAnsi="Arial" w:cs="Arial"/>
          <w:b/>
          <w:bCs/>
          <w:i/>
          <w:iCs/>
          <w:sz w:val="18"/>
          <w:szCs w:val="18"/>
        </w:rPr>
        <w:t>i</w:t>
      </w:r>
      <w:r w:rsidR="00AE13A4" w:rsidRPr="009E6CF2">
        <w:rPr>
          <w:rFonts w:ascii="Arial" w:hAnsi="Arial" w:cs="Arial"/>
          <w:b/>
          <w:bCs/>
          <w:sz w:val="18"/>
          <w:szCs w:val="18"/>
        </w:rPr>
        <w:t xml:space="preserve"> calculado de acuerdo con los marcos técnicos contables aplicables. </w:t>
      </w:r>
      <w:r w:rsidR="00C6665B">
        <w:rPr>
          <w:rFonts w:ascii="Arial" w:hAnsi="Arial" w:cs="Arial"/>
          <w:b/>
          <w:bCs/>
          <w:sz w:val="18"/>
          <w:szCs w:val="18"/>
        </w:rPr>
        <w:t>E</w:t>
      </w:r>
      <w:r w:rsidR="006864F3" w:rsidRPr="44D50F15">
        <w:rPr>
          <w:rFonts w:ascii="Arial" w:hAnsi="Arial" w:cs="Arial"/>
          <w:b/>
          <w:bCs/>
          <w:sz w:val="18"/>
          <w:szCs w:val="18"/>
        </w:rPr>
        <w:t xml:space="preserve">n el caso de las operaciones de reporto o repo, simultáneas y de transferencia temporal de valores, </w:t>
      </w:r>
      <w:r w:rsidR="00C26B87">
        <w:rPr>
          <w:rFonts w:ascii="Arial" w:hAnsi="Arial" w:cs="Arial"/>
          <w:b/>
          <w:bCs/>
          <w:sz w:val="18"/>
          <w:szCs w:val="18"/>
        </w:rPr>
        <w:t>esta variable corresponderá al</w:t>
      </w:r>
      <w:r w:rsidR="006864F3" w:rsidRPr="44D50F15">
        <w:rPr>
          <w:rFonts w:ascii="Arial" w:hAnsi="Arial" w:cs="Arial"/>
          <w:b/>
          <w:bCs/>
          <w:sz w:val="18"/>
          <w:szCs w:val="18"/>
        </w:rPr>
        <w:t xml:space="preserve"> valor de exposición</w:t>
      </w:r>
      <w:r w:rsidR="001320E4">
        <w:rPr>
          <w:rFonts w:ascii="Arial" w:hAnsi="Arial" w:cs="Arial"/>
          <w:b/>
          <w:bCs/>
          <w:sz w:val="18"/>
          <w:szCs w:val="18"/>
        </w:rPr>
        <w:t xml:space="preserve">, </w:t>
      </w:r>
      <w:r w:rsidR="00835B81">
        <w:rPr>
          <w:rFonts w:ascii="Arial" w:hAnsi="Arial" w:cs="Arial"/>
          <w:b/>
          <w:bCs/>
          <w:sz w:val="18"/>
          <w:szCs w:val="18"/>
        </w:rPr>
        <w:t>que se determina como</w:t>
      </w:r>
      <w:r w:rsidR="006864F3" w:rsidRPr="44D50F15">
        <w:rPr>
          <w:rFonts w:ascii="Arial" w:hAnsi="Arial" w:cs="Arial"/>
          <w:b/>
          <w:bCs/>
          <w:sz w:val="18"/>
          <w:szCs w:val="18"/>
        </w:rPr>
        <w:t xml:space="preserve"> el monto que resulte de restar la posición deudora de la posición acreedora que ostenta la entidad en cada operación realizada, siempre que dicho monto sea positivo. El cálculo de las posiciones deberá tener en cuenta</w:t>
      </w:r>
      <w:r w:rsidR="72EF890F" w:rsidRPr="44D50F15">
        <w:rPr>
          <w:rFonts w:ascii="Arial" w:hAnsi="Arial" w:cs="Arial"/>
          <w:b/>
          <w:bCs/>
          <w:sz w:val="18"/>
          <w:szCs w:val="18"/>
        </w:rPr>
        <w:t>:</w:t>
      </w:r>
      <w:r w:rsidR="006864F3" w:rsidRPr="44D50F15">
        <w:rPr>
          <w:rFonts w:ascii="Arial" w:hAnsi="Arial" w:cs="Arial"/>
          <w:b/>
          <w:bCs/>
          <w:sz w:val="18"/>
          <w:szCs w:val="18"/>
        </w:rPr>
        <w:t xml:space="preserve"> </w:t>
      </w:r>
      <w:r w:rsidR="1F463BE2" w:rsidRPr="44D50F15">
        <w:rPr>
          <w:rFonts w:ascii="Arial" w:hAnsi="Arial" w:cs="Arial"/>
          <w:b/>
          <w:bCs/>
          <w:sz w:val="18"/>
          <w:szCs w:val="18"/>
        </w:rPr>
        <w:t xml:space="preserve">i) </w:t>
      </w:r>
      <w:r w:rsidR="006864F3" w:rsidRPr="44D50F15">
        <w:rPr>
          <w:rFonts w:ascii="Arial" w:hAnsi="Arial" w:cs="Arial"/>
          <w:b/>
          <w:bCs/>
          <w:sz w:val="18"/>
          <w:szCs w:val="18"/>
        </w:rPr>
        <w:t xml:space="preserve">el precio justo de intercambio de los valores cuya propiedad se transfiera en desarrollo de la operación, </w:t>
      </w:r>
      <w:proofErr w:type="spellStart"/>
      <w:r w:rsidR="2A9B39C2" w:rsidRPr="44D50F15">
        <w:rPr>
          <w:rFonts w:ascii="Arial" w:hAnsi="Arial" w:cs="Arial"/>
          <w:b/>
          <w:bCs/>
          <w:sz w:val="18"/>
          <w:szCs w:val="18"/>
        </w:rPr>
        <w:t>ii</w:t>
      </w:r>
      <w:proofErr w:type="spellEnd"/>
      <w:r w:rsidR="2A9B39C2" w:rsidRPr="44D50F15">
        <w:rPr>
          <w:rFonts w:ascii="Arial" w:hAnsi="Arial" w:cs="Arial"/>
          <w:b/>
          <w:bCs/>
          <w:sz w:val="18"/>
          <w:szCs w:val="18"/>
        </w:rPr>
        <w:t xml:space="preserve">) </w:t>
      </w:r>
      <w:r w:rsidR="006864F3" w:rsidRPr="44D50F15">
        <w:rPr>
          <w:rFonts w:ascii="Arial" w:hAnsi="Arial" w:cs="Arial"/>
          <w:b/>
          <w:bCs/>
          <w:sz w:val="18"/>
          <w:szCs w:val="18"/>
        </w:rPr>
        <w:t>la suma de dinero entregada en la misma, los intereses o rendimientos causados asociados a la operación</w:t>
      </w:r>
      <w:r w:rsidR="00023087" w:rsidRPr="44D50F15">
        <w:rPr>
          <w:rFonts w:ascii="Arial" w:hAnsi="Arial" w:cs="Arial"/>
          <w:b/>
          <w:bCs/>
          <w:sz w:val="18"/>
          <w:szCs w:val="18"/>
        </w:rPr>
        <w:t xml:space="preserve"> y </w:t>
      </w:r>
      <w:proofErr w:type="spellStart"/>
      <w:r w:rsidR="502A96F6" w:rsidRPr="44D50F15">
        <w:rPr>
          <w:rFonts w:ascii="Arial" w:hAnsi="Arial" w:cs="Arial"/>
          <w:b/>
          <w:bCs/>
          <w:sz w:val="18"/>
          <w:szCs w:val="18"/>
        </w:rPr>
        <w:t>iii</w:t>
      </w:r>
      <w:proofErr w:type="spellEnd"/>
      <w:r w:rsidR="502A96F6" w:rsidRPr="44D50F15">
        <w:rPr>
          <w:rFonts w:ascii="Arial" w:hAnsi="Arial" w:cs="Arial"/>
          <w:b/>
          <w:bCs/>
          <w:sz w:val="18"/>
          <w:szCs w:val="18"/>
        </w:rPr>
        <w:t xml:space="preserve">) </w:t>
      </w:r>
      <w:r w:rsidR="00023087" w:rsidRPr="44D50F15">
        <w:rPr>
          <w:rFonts w:ascii="Arial" w:hAnsi="Arial" w:cs="Arial"/>
          <w:b/>
          <w:bCs/>
          <w:sz w:val="18"/>
          <w:szCs w:val="18"/>
        </w:rPr>
        <w:t>el valor de mercado del colateral</w:t>
      </w:r>
      <w:r w:rsidR="006864F3" w:rsidRPr="44D50F15">
        <w:rPr>
          <w:rFonts w:ascii="Arial" w:hAnsi="Arial" w:cs="Arial"/>
          <w:b/>
          <w:bCs/>
          <w:sz w:val="18"/>
          <w:szCs w:val="18"/>
        </w:rPr>
        <w:t>.</w:t>
      </w:r>
    </w:p>
    <w:p w14:paraId="1CC65860" w14:textId="3639E9B5" w:rsidR="00071990" w:rsidRPr="009E6CF2" w:rsidRDefault="00071990" w:rsidP="009E6CF2">
      <w:pPr>
        <w:pStyle w:val="Prrafodelista"/>
        <w:numPr>
          <w:ilvl w:val="0"/>
          <w:numId w:val="2"/>
        </w:numPr>
        <w:pBdr>
          <w:left w:val="single" w:sz="4" w:space="1" w:color="auto"/>
        </w:pBdr>
        <w:ind w:left="426" w:hanging="426"/>
        <w:jc w:val="both"/>
        <w:rPr>
          <w:rFonts w:ascii="Arial" w:hAnsi="Arial" w:cs="Arial"/>
          <w:b/>
          <w:bCs/>
          <w:sz w:val="18"/>
          <w:szCs w:val="18"/>
        </w:rPr>
      </w:pPr>
      <w:r w:rsidRPr="009E6CF2">
        <w:rPr>
          <w:rFonts w:ascii="Arial" w:hAnsi="Arial" w:cs="Arial"/>
          <w:b/>
          <w:bCs/>
          <w:sz w:val="18"/>
          <w:szCs w:val="18"/>
        </w:rPr>
        <w:t>Exposición ante incumplimiento (EAD)</w:t>
      </w:r>
    </w:p>
    <w:p w14:paraId="00390F2E" w14:textId="470216C1" w:rsidR="00071990" w:rsidRPr="009E6CF2" w:rsidRDefault="00071990" w:rsidP="009E6CF2">
      <w:pPr>
        <w:pBdr>
          <w:left w:val="single" w:sz="4" w:space="1" w:color="auto"/>
        </w:pBdr>
        <w:jc w:val="both"/>
        <w:rPr>
          <w:rFonts w:ascii="Arial" w:hAnsi="Arial" w:cs="Arial"/>
          <w:b/>
          <w:bCs/>
          <w:sz w:val="18"/>
          <w:szCs w:val="18"/>
        </w:rPr>
      </w:pPr>
      <w:bookmarkStart w:id="0" w:name="_Hlk118189091"/>
      <w:r w:rsidRPr="009E6CF2">
        <w:rPr>
          <w:rFonts w:ascii="Arial" w:hAnsi="Arial" w:cs="Arial"/>
          <w:b/>
          <w:bCs/>
          <w:sz w:val="18"/>
          <w:szCs w:val="18"/>
        </w:rPr>
        <w:t xml:space="preserve">Es el valor </w:t>
      </w:r>
      <w:r w:rsidR="00FF1869" w:rsidRPr="009E6CF2">
        <w:rPr>
          <w:rFonts w:ascii="Arial" w:hAnsi="Arial" w:cs="Arial"/>
          <w:b/>
          <w:bCs/>
          <w:sz w:val="18"/>
          <w:szCs w:val="18"/>
        </w:rPr>
        <w:t>razonable</w:t>
      </w:r>
      <w:r w:rsidRPr="009E6CF2">
        <w:rPr>
          <w:rFonts w:ascii="Arial" w:hAnsi="Arial" w:cs="Arial"/>
          <w:b/>
          <w:bCs/>
          <w:sz w:val="18"/>
          <w:szCs w:val="18"/>
        </w:rPr>
        <w:t xml:space="preserve"> de todas las </w:t>
      </w:r>
      <w:r w:rsidR="005173D1" w:rsidRPr="009E6CF2">
        <w:rPr>
          <w:rFonts w:ascii="Arial" w:hAnsi="Arial" w:cs="Arial"/>
          <w:b/>
          <w:bCs/>
          <w:sz w:val="18"/>
          <w:szCs w:val="18"/>
        </w:rPr>
        <w:t>o</w:t>
      </w:r>
      <w:r w:rsidRPr="009E6CF2">
        <w:rPr>
          <w:rFonts w:ascii="Arial" w:hAnsi="Arial" w:cs="Arial"/>
          <w:b/>
          <w:bCs/>
          <w:sz w:val="18"/>
          <w:szCs w:val="18"/>
        </w:rPr>
        <w:t xml:space="preserve">peraciones </w:t>
      </w:r>
      <w:r w:rsidR="005173D1" w:rsidRPr="009E6CF2">
        <w:rPr>
          <w:rFonts w:ascii="Arial" w:hAnsi="Arial" w:cs="Arial"/>
          <w:b/>
          <w:bCs/>
          <w:sz w:val="18"/>
          <w:szCs w:val="18"/>
        </w:rPr>
        <w:t>e</w:t>
      </w:r>
      <w:r w:rsidRPr="009E6CF2">
        <w:rPr>
          <w:rFonts w:ascii="Arial" w:hAnsi="Arial" w:cs="Arial"/>
          <w:b/>
          <w:bCs/>
          <w:sz w:val="18"/>
          <w:szCs w:val="18"/>
        </w:rPr>
        <w:t xml:space="preserve">xpuestas a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con un mismo </w:t>
      </w:r>
      <w:r w:rsidR="00B60DC8">
        <w:rPr>
          <w:rFonts w:ascii="Arial" w:hAnsi="Arial" w:cs="Arial"/>
          <w:b/>
          <w:bCs/>
          <w:sz w:val="18"/>
          <w:szCs w:val="18"/>
        </w:rPr>
        <w:t xml:space="preserve">tercero </w:t>
      </w:r>
      <w:r w:rsidRPr="009E6CF2">
        <w:rPr>
          <w:rFonts w:ascii="Arial" w:hAnsi="Arial" w:cs="Arial"/>
          <w:b/>
          <w:bCs/>
          <w:sz w:val="18"/>
          <w:szCs w:val="18"/>
        </w:rPr>
        <w:t xml:space="preserve">o </w:t>
      </w:r>
      <w:r w:rsidR="005173D1" w:rsidRPr="009E6CF2">
        <w:rPr>
          <w:rFonts w:ascii="Arial" w:hAnsi="Arial" w:cs="Arial"/>
          <w:b/>
          <w:bCs/>
          <w:sz w:val="18"/>
          <w:szCs w:val="18"/>
        </w:rPr>
        <w:t>c</w:t>
      </w:r>
      <w:r w:rsidRPr="009E6CF2">
        <w:rPr>
          <w:rFonts w:ascii="Arial" w:hAnsi="Arial" w:cs="Arial"/>
          <w:b/>
          <w:bCs/>
          <w:sz w:val="18"/>
          <w:szCs w:val="18"/>
        </w:rPr>
        <w:t>ontraparte, asumiendo un posible incumplimiento. La exposición ante incumplimiento (EAD)</w:t>
      </w:r>
      <w:r w:rsidR="00EE2400" w:rsidRPr="009E6CF2">
        <w:rPr>
          <w:rFonts w:ascii="Arial" w:hAnsi="Arial" w:cs="Arial"/>
          <w:b/>
          <w:bCs/>
          <w:sz w:val="18"/>
          <w:szCs w:val="18"/>
        </w:rPr>
        <w:t xml:space="preserve"> para cada exposición</w:t>
      </w:r>
      <w:r w:rsidRPr="009E6CF2">
        <w:rPr>
          <w:rFonts w:ascii="Arial" w:hAnsi="Arial" w:cs="Arial"/>
          <w:b/>
          <w:bCs/>
          <w:sz w:val="18"/>
          <w:szCs w:val="18"/>
        </w:rPr>
        <w:t xml:space="preserve"> se determina así:</w:t>
      </w:r>
      <w:bookmarkEnd w:id="0"/>
    </w:p>
    <w:p w14:paraId="280802F2" w14:textId="716BE258" w:rsidR="00071990" w:rsidRPr="009E6CF2" w:rsidRDefault="00C11031" w:rsidP="009E6CF2">
      <w:pPr>
        <w:pBdr>
          <w:left w:val="single" w:sz="4" w:space="1" w:color="auto"/>
        </w:pBdr>
        <w:jc w:val="both"/>
        <w:rPr>
          <w:rFonts w:ascii="Arial" w:hAnsi="Arial" w:cs="Arial"/>
          <w:b/>
          <w:bCs/>
          <w:sz w:val="18"/>
          <w:szCs w:val="18"/>
        </w:rPr>
      </w:pPr>
      <m:oMathPara>
        <m:oMath>
          <m:sSub>
            <m:sSubPr>
              <m:ctrlPr>
                <w:rPr>
                  <w:rFonts w:ascii="Cambria Math" w:hAnsi="Cambria Math" w:cs="Arial"/>
                  <w:b/>
                  <w:bCs/>
                  <w:i/>
                  <w:sz w:val="18"/>
                  <w:szCs w:val="18"/>
                </w:rPr>
              </m:ctrlPr>
            </m:sSubPr>
            <m:e>
              <m:r>
                <m:rPr>
                  <m:sty m:val="bi"/>
                </m:rPr>
                <w:rPr>
                  <w:rFonts w:ascii="Cambria Math" w:hAnsi="Cambria Math" w:cs="Arial"/>
                  <w:sz w:val="18"/>
                  <w:szCs w:val="18"/>
                </w:rPr>
                <m:t>EAD</m:t>
              </m:r>
            </m:e>
            <m:sub>
              <m:r>
                <m:rPr>
                  <m:sty m:val="bi"/>
                </m:rPr>
                <w:rPr>
                  <w:rFonts w:ascii="Cambria Math" w:hAnsi="Cambria Math" w:cs="Arial"/>
                  <w:sz w:val="18"/>
                  <w:szCs w:val="18"/>
                </w:rPr>
                <m:t>i</m:t>
              </m:r>
            </m:sub>
          </m:sSub>
          <m:r>
            <m:rPr>
              <m:sty m:val="bi"/>
            </m:rPr>
            <w:rPr>
              <w:rFonts w:ascii="Cambria Math" w:hAnsi="Cambria Math" w:cs="Arial"/>
              <w:sz w:val="18"/>
              <w:szCs w:val="18"/>
            </w:rPr>
            <m:t>=</m:t>
          </m:r>
          <m:r>
            <m:rPr>
              <m:sty m:val="bi"/>
            </m:rPr>
            <w:rPr>
              <w:rFonts w:ascii="Cambria Math" w:hAnsi="Cambria Math" w:cs="Arial"/>
              <w:sz w:val="18"/>
              <w:szCs w:val="18"/>
            </w:rPr>
            <m:t>max</m:t>
          </m:r>
          <m:d>
            <m:dPr>
              <m:begChr m:val="{"/>
              <m:endChr m:val="}"/>
              <m:ctrlPr>
                <w:rPr>
                  <w:rFonts w:ascii="Cambria Math" w:hAnsi="Cambria Math" w:cs="Arial"/>
                  <w:b/>
                  <w:bCs/>
                  <w:i/>
                  <w:sz w:val="18"/>
                  <w:szCs w:val="18"/>
                </w:rPr>
              </m:ctrlPr>
            </m:dPr>
            <m:e>
              <m:r>
                <m:rPr>
                  <m:sty m:val="bi"/>
                </m:rPr>
                <w:rPr>
                  <w:rFonts w:ascii="Cambria Math" w:hAnsi="Cambria Math" w:cs="Arial"/>
                  <w:sz w:val="18"/>
                  <w:szCs w:val="18"/>
                </w:rPr>
                <m:t>0</m:t>
              </m:r>
              <m:r>
                <m:rPr>
                  <m:sty m:val="bi"/>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E</m:t>
                  </m:r>
                </m:e>
                <m:sub>
                  <m:r>
                    <m:rPr>
                      <m:sty m:val="bi"/>
                    </m:rPr>
                    <w:rPr>
                      <w:rFonts w:ascii="Cambria Math" w:hAnsi="Cambria Math" w:cs="Arial"/>
                      <w:sz w:val="18"/>
                      <w:szCs w:val="18"/>
                    </w:rPr>
                    <m:t>i</m:t>
                  </m:r>
                </m:sub>
              </m:sSub>
              <m:r>
                <m:rPr>
                  <m:sty m:val="bi"/>
                </m:rPr>
                <w:rPr>
                  <w:rFonts w:ascii="Cambria Math" w:hAnsi="Cambria Math" w:cs="Arial"/>
                  <w:sz w:val="18"/>
                  <w:szCs w:val="18"/>
                </w:rPr>
                <m:t>*</m:t>
              </m:r>
              <m:d>
                <m:dPr>
                  <m:ctrlPr>
                    <w:rPr>
                      <w:rFonts w:ascii="Cambria Math" w:hAnsi="Cambria Math" w:cs="Arial"/>
                      <w:b/>
                      <w:bCs/>
                      <w:i/>
                      <w:sz w:val="18"/>
                      <w:szCs w:val="18"/>
                    </w:rPr>
                  </m:ctrlPr>
                </m:dPr>
                <m:e>
                  <m:r>
                    <m:rPr>
                      <m:sty m:val="bi"/>
                    </m:rPr>
                    <w:rPr>
                      <w:rFonts w:ascii="Cambria Math" w:hAnsi="Cambria Math" w:cs="Arial"/>
                      <w:sz w:val="18"/>
                      <w:szCs w:val="18"/>
                    </w:rPr>
                    <m:t>1</m:t>
                  </m:r>
                  <m:r>
                    <m:rPr>
                      <m:sty m:val="bi"/>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H</m:t>
                      </m:r>
                    </m:e>
                    <m:sub>
                      <m:r>
                        <m:rPr>
                          <m:sty m:val="bi"/>
                        </m:rPr>
                        <w:rPr>
                          <w:rFonts w:ascii="Cambria Math" w:hAnsi="Cambria Math" w:cs="Arial"/>
                          <w:sz w:val="18"/>
                          <w:szCs w:val="18"/>
                        </w:rPr>
                        <m:t>e</m:t>
                      </m:r>
                    </m:sub>
                  </m:sSub>
                </m:e>
              </m:d>
              <m:r>
                <m:rPr>
                  <m:sty m:val="bi"/>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C</m:t>
                  </m:r>
                </m:e>
                <m:sub>
                  <m:r>
                    <m:rPr>
                      <m:sty m:val="bi"/>
                    </m:rPr>
                    <w:rPr>
                      <w:rFonts w:ascii="Cambria Math" w:hAnsi="Cambria Math" w:cs="Arial"/>
                      <w:sz w:val="18"/>
                      <w:szCs w:val="18"/>
                    </w:rPr>
                    <m:t>i</m:t>
                  </m:r>
                </m:sub>
              </m:sSub>
              <m:r>
                <m:rPr>
                  <m:sty m:val="bi"/>
                </m:rPr>
                <w:rPr>
                  <w:rFonts w:ascii="Cambria Math" w:hAnsi="Cambria Math" w:cs="Arial"/>
                  <w:sz w:val="18"/>
                  <w:szCs w:val="18"/>
                </w:rPr>
                <m:t>*</m:t>
              </m:r>
              <m:d>
                <m:dPr>
                  <m:ctrlPr>
                    <w:rPr>
                      <w:rFonts w:ascii="Cambria Math" w:hAnsi="Cambria Math" w:cs="Arial"/>
                      <w:b/>
                      <w:bCs/>
                      <w:i/>
                      <w:sz w:val="18"/>
                      <w:szCs w:val="18"/>
                    </w:rPr>
                  </m:ctrlPr>
                </m:dPr>
                <m:e>
                  <m:r>
                    <m:rPr>
                      <m:sty m:val="bi"/>
                    </m:rPr>
                    <w:rPr>
                      <w:rFonts w:ascii="Cambria Math" w:hAnsi="Cambria Math" w:cs="Arial"/>
                      <w:sz w:val="18"/>
                      <w:szCs w:val="18"/>
                    </w:rPr>
                    <m:t>1</m:t>
                  </m:r>
                  <m:r>
                    <m:rPr>
                      <m:sty m:val="bi"/>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H</m:t>
                      </m:r>
                    </m:e>
                    <m:sub>
                      <m:r>
                        <m:rPr>
                          <m:sty m:val="bi"/>
                        </m:rPr>
                        <w:rPr>
                          <w:rFonts w:ascii="Cambria Math" w:hAnsi="Cambria Math" w:cs="Arial"/>
                          <w:sz w:val="18"/>
                          <w:szCs w:val="18"/>
                        </w:rPr>
                        <m:t>c</m:t>
                      </m:r>
                    </m:sub>
                  </m:sSub>
                </m:e>
              </m:d>
            </m:e>
          </m:d>
        </m:oMath>
      </m:oMathPara>
    </w:p>
    <w:p w14:paraId="5665D056" w14:textId="209D641A" w:rsidR="00071990" w:rsidRPr="009E6CF2" w:rsidRDefault="009E22C4"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Donde</w:t>
      </w:r>
      <w:r w:rsidR="00071990" w:rsidRPr="009E6CF2">
        <w:rPr>
          <w:rFonts w:ascii="Arial" w:hAnsi="Arial" w:cs="Arial"/>
          <w:b/>
          <w:bCs/>
          <w:sz w:val="18"/>
          <w:szCs w:val="18"/>
        </w:rPr>
        <w:t>:</w:t>
      </w:r>
    </w:p>
    <w:p w14:paraId="3470C684" w14:textId="469507A2" w:rsidR="00086C5C" w:rsidRPr="009E6CF2" w:rsidRDefault="00C11031" w:rsidP="009E6CF2">
      <w:pPr>
        <w:pBdr>
          <w:left w:val="single" w:sz="4" w:space="1" w:color="auto"/>
        </w:pBdr>
        <w:jc w:val="both"/>
        <w:rPr>
          <w:rFonts w:ascii="Arial"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EAD</m:t>
            </m:r>
          </m:e>
          <m:sub>
            <m:r>
              <m:rPr>
                <m:sty m:val="bi"/>
              </m:rPr>
              <w:rPr>
                <w:rFonts w:ascii="Cambria Math" w:hAnsi="Cambria Math" w:cs="Arial"/>
                <w:sz w:val="18"/>
                <w:szCs w:val="18"/>
              </w:rPr>
              <m:t>i</m:t>
            </m:r>
          </m:sub>
        </m:sSub>
      </m:oMath>
      <w:r w:rsidR="00086C5C" w:rsidRPr="009E6CF2">
        <w:rPr>
          <w:rFonts w:ascii="Arial" w:eastAsiaTheme="minorEastAsia" w:hAnsi="Arial" w:cs="Arial"/>
          <w:b/>
          <w:bCs/>
          <w:sz w:val="18"/>
          <w:szCs w:val="18"/>
        </w:rPr>
        <w:t xml:space="preserve">: corresponde al valor de la exposición ante incumplimiento para la operación </w:t>
      </w:r>
      <m:oMath>
        <m:r>
          <m:rPr>
            <m:sty m:val="bi"/>
          </m:rPr>
          <w:rPr>
            <w:rFonts w:ascii="Cambria Math" w:eastAsiaTheme="minorEastAsia" w:hAnsi="Cambria Math" w:cs="Arial"/>
            <w:sz w:val="18"/>
            <w:szCs w:val="18"/>
          </w:rPr>
          <m:t>i</m:t>
        </m:r>
      </m:oMath>
      <w:r w:rsidR="00707A40" w:rsidRPr="009E6CF2">
        <w:rPr>
          <w:rFonts w:ascii="Arial" w:eastAsiaTheme="minorEastAsia" w:hAnsi="Arial" w:cs="Arial"/>
          <w:b/>
          <w:bCs/>
          <w:sz w:val="18"/>
          <w:szCs w:val="18"/>
        </w:rPr>
        <w:t>.</w:t>
      </w:r>
    </w:p>
    <w:p w14:paraId="75701BFA" w14:textId="7FDABD8E" w:rsidR="004265DC" w:rsidRPr="009E6CF2" w:rsidRDefault="009E6CF2" w:rsidP="009E6CF2">
      <w:pPr>
        <w:pBdr>
          <w:left w:val="single" w:sz="4" w:space="1" w:color="auto"/>
        </w:pBdr>
        <w:jc w:val="both"/>
        <w:rPr>
          <w:rFonts w:ascii="Arial" w:hAnsi="Arial" w:cs="Arial"/>
          <w:b/>
          <w:bCs/>
          <w:sz w:val="18"/>
          <w:szCs w:val="18"/>
        </w:rPr>
      </w:pPr>
      <m:oMath>
        <m:r>
          <m:rPr>
            <m:sty m:val="bi"/>
          </m:rPr>
          <w:rPr>
            <w:rFonts w:ascii="Cambria Math" w:hAnsi="Cambria Math" w:cs="Arial"/>
            <w:sz w:val="18"/>
            <w:szCs w:val="18"/>
          </w:rPr>
          <m:t>i</m:t>
        </m:r>
      </m:oMath>
      <w:r w:rsidR="004265DC" w:rsidRPr="009E6CF2">
        <w:rPr>
          <w:rFonts w:ascii="Arial" w:hAnsi="Arial" w:cs="Arial"/>
          <w:b/>
          <w:bCs/>
          <w:sz w:val="18"/>
          <w:szCs w:val="18"/>
        </w:rPr>
        <w:t xml:space="preserve">: </w:t>
      </w:r>
      <w:r w:rsidR="0051022E" w:rsidRPr="009E6CF2">
        <w:rPr>
          <w:rFonts w:ascii="Arial" w:hAnsi="Arial" w:cs="Arial"/>
          <w:b/>
          <w:bCs/>
          <w:sz w:val="18"/>
          <w:szCs w:val="18"/>
        </w:rPr>
        <w:t>o</w:t>
      </w:r>
      <w:r w:rsidR="004265DC" w:rsidRPr="009E6CF2">
        <w:rPr>
          <w:rFonts w:ascii="Arial" w:hAnsi="Arial" w:cs="Arial"/>
          <w:b/>
          <w:bCs/>
          <w:sz w:val="18"/>
          <w:szCs w:val="18"/>
        </w:rPr>
        <w:t xml:space="preserve">peración expuesta a </w:t>
      </w:r>
      <w:proofErr w:type="spellStart"/>
      <w:r w:rsidR="004265DC" w:rsidRPr="009E6CF2">
        <w:rPr>
          <w:rFonts w:ascii="Arial" w:hAnsi="Arial" w:cs="Arial"/>
          <w:b/>
          <w:bCs/>
          <w:sz w:val="18"/>
          <w:szCs w:val="18"/>
        </w:rPr>
        <w:t>RiC</w:t>
      </w:r>
      <w:proofErr w:type="spellEnd"/>
      <w:r w:rsidR="004265DC" w:rsidRPr="009E6CF2">
        <w:rPr>
          <w:rFonts w:ascii="Arial" w:hAnsi="Arial" w:cs="Arial"/>
          <w:b/>
          <w:bCs/>
          <w:sz w:val="18"/>
          <w:szCs w:val="18"/>
        </w:rPr>
        <w:t xml:space="preserve"> con un mismo </w:t>
      </w:r>
      <w:r w:rsidR="00A34351">
        <w:rPr>
          <w:rFonts w:ascii="Arial" w:hAnsi="Arial" w:cs="Arial"/>
          <w:b/>
          <w:bCs/>
          <w:sz w:val="18"/>
          <w:szCs w:val="18"/>
        </w:rPr>
        <w:t>tercero</w:t>
      </w:r>
      <w:r w:rsidR="004265DC" w:rsidRPr="009E6CF2">
        <w:rPr>
          <w:rFonts w:ascii="Arial" w:hAnsi="Arial" w:cs="Arial"/>
          <w:b/>
          <w:bCs/>
          <w:sz w:val="18"/>
          <w:szCs w:val="18"/>
        </w:rPr>
        <w:t xml:space="preserve"> o contraparte.</w:t>
      </w:r>
    </w:p>
    <w:p w14:paraId="2F76AD11" w14:textId="65601040" w:rsidR="00922864" w:rsidRPr="009E6CF2" w:rsidRDefault="00C11031" w:rsidP="44D50F15">
      <w:pPr>
        <w:pBdr>
          <w:left w:val="single" w:sz="4" w:space="1" w:color="auto"/>
        </w:pBdr>
        <w:jc w:val="both"/>
        <w:rPr>
          <w:rFonts w:ascii="Arial"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E</m:t>
            </m:r>
          </m:e>
          <m:sub>
            <m:r>
              <m:rPr>
                <m:sty m:val="bi"/>
              </m:rPr>
              <w:rPr>
                <w:rFonts w:ascii="Cambria Math" w:hAnsi="Cambria Math" w:cs="Arial"/>
                <w:sz w:val="18"/>
                <w:szCs w:val="18"/>
              </w:rPr>
              <m:t>i</m:t>
            </m:r>
          </m:sub>
        </m:sSub>
      </m:oMath>
      <w:r w:rsidR="00071990" w:rsidRPr="009E6CF2">
        <w:rPr>
          <w:rFonts w:ascii="Arial" w:eastAsiaTheme="minorEastAsia" w:hAnsi="Arial" w:cs="Arial"/>
          <w:b/>
          <w:bCs/>
          <w:sz w:val="18"/>
          <w:szCs w:val="18"/>
        </w:rPr>
        <w:t xml:space="preserve">: </w:t>
      </w:r>
      <w:r w:rsidR="0051022E" w:rsidRPr="009E6CF2">
        <w:rPr>
          <w:rFonts w:ascii="Arial" w:eastAsiaTheme="minorEastAsia" w:hAnsi="Arial" w:cs="Arial"/>
          <w:b/>
          <w:bCs/>
          <w:sz w:val="18"/>
          <w:szCs w:val="18"/>
        </w:rPr>
        <w:t>v</w:t>
      </w:r>
      <w:r w:rsidR="00071990" w:rsidRPr="009E6CF2">
        <w:rPr>
          <w:rFonts w:ascii="Arial" w:eastAsiaTheme="minorEastAsia" w:hAnsi="Arial" w:cs="Arial"/>
          <w:b/>
          <w:bCs/>
          <w:sz w:val="18"/>
          <w:szCs w:val="18"/>
        </w:rPr>
        <w:t xml:space="preserve">alor </w:t>
      </w:r>
      <w:r w:rsidR="006B6527" w:rsidRPr="009E6CF2">
        <w:rPr>
          <w:rFonts w:ascii="Arial" w:eastAsiaTheme="minorEastAsia" w:hAnsi="Arial" w:cs="Arial"/>
          <w:b/>
          <w:bCs/>
          <w:sz w:val="18"/>
          <w:szCs w:val="18"/>
        </w:rPr>
        <w:t>razo</w:t>
      </w:r>
      <w:r w:rsidR="00BE525C" w:rsidRPr="009E6CF2">
        <w:rPr>
          <w:rFonts w:ascii="Arial" w:eastAsiaTheme="minorEastAsia" w:hAnsi="Arial" w:cs="Arial"/>
          <w:b/>
          <w:bCs/>
          <w:sz w:val="18"/>
          <w:szCs w:val="18"/>
        </w:rPr>
        <w:t xml:space="preserve">nable </w:t>
      </w:r>
      <w:r w:rsidR="00071990" w:rsidRPr="009E6CF2">
        <w:rPr>
          <w:rFonts w:ascii="Arial" w:eastAsiaTheme="minorEastAsia" w:hAnsi="Arial" w:cs="Arial"/>
          <w:b/>
          <w:bCs/>
          <w:sz w:val="18"/>
          <w:szCs w:val="18"/>
        </w:rPr>
        <w:t xml:space="preserve">de </w:t>
      </w:r>
      <w:r w:rsidR="00001C81" w:rsidRPr="009E6CF2">
        <w:rPr>
          <w:rFonts w:ascii="Arial" w:eastAsiaTheme="minorEastAsia" w:hAnsi="Arial" w:cs="Arial"/>
          <w:b/>
          <w:bCs/>
          <w:sz w:val="18"/>
          <w:szCs w:val="18"/>
        </w:rPr>
        <w:t xml:space="preserve">cada </w:t>
      </w:r>
      <w:r w:rsidR="00E62EEE" w:rsidRPr="009E6CF2">
        <w:rPr>
          <w:rFonts w:ascii="Arial" w:eastAsiaTheme="minorEastAsia" w:hAnsi="Arial" w:cs="Arial"/>
          <w:b/>
          <w:bCs/>
          <w:sz w:val="18"/>
          <w:szCs w:val="18"/>
        </w:rPr>
        <w:t>operación</w:t>
      </w:r>
      <w:r w:rsidR="00001C81" w:rsidRPr="009E6CF2">
        <w:rPr>
          <w:rFonts w:ascii="Arial" w:eastAsiaTheme="minorEastAsia" w:hAnsi="Arial" w:cs="Arial"/>
          <w:b/>
          <w:bCs/>
          <w:sz w:val="18"/>
          <w:szCs w:val="18"/>
        </w:rPr>
        <w:t xml:space="preserve"> </w:t>
      </w:r>
      <m:oMath>
        <m:r>
          <m:rPr>
            <m:sty m:val="bi"/>
          </m:rPr>
          <w:rPr>
            <w:rFonts w:ascii="Cambria Math" w:eastAsiaTheme="minorEastAsia" w:hAnsi="Cambria Math" w:cs="Arial"/>
            <w:sz w:val="18"/>
            <w:szCs w:val="18"/>
          </w:rPr>
          <m:t>i</m:t>
        </m:r>
      </m:oMath>
      <w:r w:rsidR="00071990" w:rsidRPr="009E6CF2">
        <w:rPr>
          <w:rFonts w:ascii="Arial" w:eastAsiaTheme="minorEastAsia" w:hAnsi="Arial" w:cs="Arial"/>
          <w:b/>
          <w:bCs/>
          <w:sz w:val="18"/>
          <w:szCs w:val="18"/>
        </w:rPr>
        <w:t xml:space="preserve"> </w:t>
      </w:r>
      <w:r w:rsidR="00CE0295" w:rsidRPr="009E6CF2">
        <w:rPr>
          <w:rFonts w:ascii="Arial" w:eastAsiaTheme="minorEastAsia" w:hAnsi="Arial" w:cs="Arial"/>
          <w:b/>
          <w:bCs/>
          <w:sz w:val="18"/>
          <w:szCs w:val="18"/>
        </w:rPr>
        <w:t>e</w:t>
      </w:r>
      <w:r w:rsidR="00071990" w:rsidRPr="009E6CF2">
        <w:rPr>
          <w:rFonts w:ascii="Arial" w:eastAsiaTheme="minorEastAsia" w:hAnsi="Arial" w:cs="Arial"/>
          <w:b/>
          <w:bCs/>
          <w:sz w:val="18"/>
          <w:szCs w:val="18"/>
        </w:rPr>
        <w:t xml:space="preserve">xpuesta a </w:t>
      </w:r>
      <w:proofErr w:type="spellStart"/>
      <w:r w:rsidR="00071990" w:rsidRPr="009E6CF2">
        <w:rPr>
          <w:rFonts w:ascii="Arial" w:eastAsiaTheme="minorEastAsia" w:hAnsi="Arial" w:cs="Arial"/>
          <w:b/>
          <w:bCs/>
          <w:sz w:val="18"/>
          <w:szCs w:val="18"/>
        </w:rPr>
        <w:t>RiC</w:t>
      </w:r>
      <w:proofErr w:type="spellEnd"/>
      <w:r w:rsidR="00071990" w:rsidRPr="009E6CF2">
        <w:rPr>
          <w:rFonts w:ascii="Arial" w:eastAsiaTheme="minorEastAsia" w:hAnsi="Arial" w:cs="Arial"/>
          <w:b/>
          <w:bCs/>
          <w:sz w:val="18"/>
          <w:szCs w:val="18"/>
        </w:rPr>
        <w:t>.</w:t>
      </w:r>
      <w:r w:rsidR="00C6665B">
        <w:rPr>
          <w:rFonts w:ascii="Arial" w:hAnsi="Arial" w:cs="Arial"/>
          <w:b/>
          <w:bCs/>
          <w:sz w:val="18"/>
          <w:szCs w:val="18"/>
        </w:rPr>
        <w:t xml:space="preserve"> </w:t>
      </w:r>
      <w:r w:rsidR="00272537" w:rsidRPr="44D50F15">
        <w:rPr>
          <w:rFonts w:ascii="Arial" w:hAnsi="Arial" w:cs="Arial"/>
          <w:b/>
          <w:bCs/>
          <w:sz w:val="18"/>
          <w:szCs w:val="18"/>
        </w:rPr>
        <w:t xml:space="preserve">En el caso de las operaciones de reporto o repo, simultáneas y de transferencia temporal de valores, </w:t>
      </w:r>
      <w:r w:rsidR="00835B81">
        <w:rPr>
          <w:rFonts w:ascii="Arial" w:hAnsi="Arial" w:cs="Arial"/>
          <w:b/>
          <w:bCs/>
          <w:sz w:val="18"/>
          <w:szCs w:val="18"/>
        </w:rPr>
        <w:t>esta variable corresponde a</w:t>
      </w:r>
      <w:r w:rsidR="5241FBA8" w:rsidRPr="44D50F15">
        <w:rPr>
          <w:rFonts w:ascii="Arial" w:hAnsi="Arial" w:cs="Arial"/>
          <w:b/>
          <w:bCs/>
          <w:sz w:val="18"/>
          <w:szCs w:val="18"/>
        </w:rPr>
        <w:t>l</w:t>
      </w:r>
      <w:r w:rsidR="00272537" w:rsidRPr="44D50F15">
        <w:rPr>
          <w:rFonts w:ascii="Arial" w:hAnsi="Arial" w:cs="Arial"/>
          <w:b/>
          <w:bCs/>
          <w:sz w:val="18"/>
          <w:szCs w:val="18"/>
        </w:rPr>
        <w:t xml:space="preserve"> valor d</w:t>
      </w:r>
      <w:r w:rsidR="00AC5F7E">
        <w:rPr>
          <w:rFonts w:ascii="Arial" w:hAnsi="Arial" w:cs="Arial"/>
          <w:b/>
          <w:bCs/>
          <w:sz w:val="18"/>
          <w:szCs w:val="18"/>
        </w:rPr>
        <w:t>e</w:t>
      </w:r>
      <w:r w:rsidR="00725C18" w:rsidRPr="44D50F15">
        <w:rPr>
          <w:rFonts w:ascii="Arial" w:hAnsi="Arial" w:cs="Arial"/>
          <w:b/>
          <w:bCs/>
          <w:sz w:val="18"/>
          <w:szCs w:val="18"/>
        </w:rPr>
        <w:t xml:space="preserve"> </w:t>
      </w:r>
      <w:r w:rsidR="00272537" w:rsidRPr="44D50F15">
        <w:rPr>
          <w:rFonts w:ascii="Arial" w:hAnsi="Arial" w:cs="Arial"/>
          <w:b/>
          <w:bCs/>
          <w:sz w:val="18"/>
          <w:szCs w:val="18"/>
        </w:rPr>
        <w:t>exposición</w:t>
      </w:r>
      <w:r w:rsidR="009A4FEC">
        <w:rPr>
          <w:rFonts w:ascii="Arial" w:hAnsi="Arial" w:cs="Arial"/>
          <w:b/>
          <w:bCs/>
          <w:sz w:val="18"/>
          <w:szCs w:val="18"/>
        </w:rPr>
        <w:t>, que se determina como</w:t>
      </w:r>
      <w:r w:rsidR="00725C18" w:rsidRPr="44D50F15">
        <w:rPr>
          <w:rFonts w:ascii="Arial" w:hAnsi="Arial" w:cs="Arial"/>
          <w:b/>
          <w:bCs/>
          <w:sz w:val="18"/>
          <w:szCs w:val="18"/>
        </w:rPr>
        <w:t xml:space="preserve"> </w:t>
      </w:r>
      <w:r w:rsidR="00272537" w:rsidRPr="44D50F15">
        <w:rPr>
          <w:rFonts w:ascii="Arial" w:hAnsi="Arial" w:cs="Arial"/>
          <w:b/>
          <w:bCs/>
          <w:sz w:val="18"/>
          <w:szCs w:val="18"/>
        </w:rPr>
        <w:t>el monto que resulte de restar la posición deudora de la posición acreedora</w:t>
      </w:r>
      <w:r w:rsidR="00E21D3D">
        <w:rPr>
          <w:rFonts w:ascii="Arial" w:hAnsi="Arial" w:cs="Arial"/>
          <w:b/>
          <w:bCs/>
          <w:sz w:val="18"/>
          <w:szCs w:val="18"/>
        </w:rPr>
        <w:t xml:space="preserve"> </w:t>
      </w:r>
      <w:r w:rsidR="00272537" w:rsidRPr="44D50F15">
        <w:rPr>
          <w:rFonts w:ascii="Arial" w:hAnsi="Arial" w:cs="Arial"/>
          <w:b/>
          <w:bCs/>
          <w:sz w:val="18"/>
          <w:szCs w:val="18"/>
        </w:rPr>
        <w:t>que ostenta la entidad en cada operación realizada, siempre que dicho monto sea positivo. El cálculo de las</w:t>
      </w:r>
      <w:r w:rsidR="00FD127C">
        <w:rPr>
          <w:rFonts w:ascii="Arial" w:hAnsi="Arial" w:cs="Arial"/>
          <w:b/>
          <w:bCs/>
          <w:sz w:val="18"/>
          <w:szCs w:val="18"/>
        </w:rPr>
        <w:t xml:space="preserve"> </w:t>
      </w:r>
      <w:r w:rsidR="00272537" w:rsidRPr="44D50F15">
        <w:rPr>
          <w:rFonts w:ascii="Arial" w:hAnsi="Arial" w:cs="Arial"/>
          <w:b/>
          <w:bCs/>
          <w:sz w:val="18"/>
          <w:szCs w:val="18"/>
        </w:rPr>
        <w:t>posiciones deberá tener en cuenta</w:t>
      </w:r>
      <w:r w:rsidR="636C26AA" w:rsidRPr="44D50F15">
        <w:rPr>
          <w:rFonts w:ascii="Arial" w:hAnsi="Arial" w:cs="Arial"/>
          <w:b/>
          <w:bCs/>
          <w:sz w:val="18"/>
          <w:szCs w:val="18"/>
        </w:rPr>
        <w:t>:</w:t>
      </w:r>
      <w:r w:rsidR="00272537" w:rsidRPr="44D50F15">
        <w:rPr>
          <w:rFonts w:ascii="Arial" w:hAnsi="Arial" w:cs="Arial"/>
          <w:b/>
          <w:bCs/>
          <w:sz w:val="18"/>
          <w:szCs w:val="18"/>
        </w:rPr>
        <w:t xml:space="preserve"> </w:t>
      </w:r>
      <w:r w:rsidR="535A05C7" w:rsidRPr="44D50F15">
        <w:rPr>
          <w:rFonts w:ascii="Arial" w:hAnsi="Arial" w:cs="Arial"/>
          <w:b/>
          <w:bCs/>
          <w:sz w:val="18"/>
          <w:szCs w:val="18"/>
        </w:rPr>
        <w:t xml:space="preserve">i) </w:t>
      </w:r>
      <w:r w:rsidR="00272537" w:rsidRPr="44D50F15">
        <w:rPr>
          <w:rFonts w:ascii="Arial" w:hAnsi="Arial" w:cs="Arial"/>
          <w:b/>
          <w:bCs/>
          <w:sz w:val="18"/>
          <w:szCs w:val="18"/>
        </w:rPr>
        <w:t xml:space="preserve">el precio justo de intercambio de los valores cuya propiedad se transfiera en desarrollo de la operación, </w:t>
      </w:r>
      <w:r w:rsidR="4C7A505C" w:rsidRPr="44D50F15">
        <w:rPr>
          <w:rFonts w:ascii="Arial" w:hAnsi="Arial" w:cs="Arial"/>
          <w:b/>
          <w:bCs/>
          <w:sz w:val="18"/>
          <w:szCs w:val="18"/>
        </w:rPr>
        <w:t xml:space="preserve">y </w:t>
      </w:r>
      <w:proofErr w:type="spellStart"/>
      <w:r w:rsidR="4C7A505C" w:rsidRPr="44D50F15">
        <w:rPr>
          <w:rFonts w:ascii="Arial" w:hAnsi="Arial" w:cs="Arial"/>
          <w:b/>
          <w:bCs/>
          <w:sz w:val="18"/>
          <w:szCs w:val="18"/>
        </w:rPr>
        <w:t>ii</w:t>
      </w:r>
      <w:proofErr w:type="spellEnd"/>
      <w:r w:rsidR="4C7A505C" w:rsidRPr="44D50F15">
        <w:rPr>
          <w:rFonts w:ascii="Arial" w:hAnsi="Arial" w:cs="Arial"/>
          <w:b/>
          <w:bCs/>
          <w:sz w:val="18"/>
          <w:szCs w:val="18"/>
        </w:rPr>
        <w:t xml:space="preserve">) </w:t>
      </w:r>
      <w:r w:rsidR="00272537" w:rsidRPr="44D50F15">
        <w:rPr>
          <w:rFonts w:ascii="Arial" w:hAnsi="Arial" w:cs="Arial"/>
          <w:b/>
          <w:bCs/>
          <w:sz w:val="18"/>
          <w:szCs w:val="18"/>
        </w:rPr>
        <w:t>la suma de dinero entregada en la misma, los intereses o rendimientos causados asociados a la operación</w:t>
      </w:r>
      <w:r w:rsidR="00982601" w:rsidRPr="44D50F15">
        <w:rPr>
          <w:rFonts w:ascii="Arial" w:hAnsi="Arial" w:cs="Arial"/>
          <w:b/>
          <w:bCs/>
          <w:sz w:val="18"/>
          <w:szCs w:val="18"/>
        </w:rPr>
        <w:t>.</w:t>
      </w:r>
    </w:p>
    <w:p w14:paraId="6518A14D" w14:textId="78C5CB57" w:rsidR="00071990" w:rsidRPr="009E6CF2" w:rsidRDefault="00C11031" w:rsidP="009E6CF2">
      <w:pPr>
        <w:pBdr>
          <w:left w:val="single" w:sz="4" w:space="1" w:color="auto"/>
        </w:pBdr>
        <w:jc w:val="both"/>
        <w:rPr>
          <w:rFonts w:ascii="Arial" w:eastAsiaTheme="minorEastAsia"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H</m:t>
            </m:r>
          </m:e>
          <m:sub>
            <m:r>
              <m:rPr>
                <m:sty m:val="bi"/>
              </m:rPr>
              <w:rPr>
                <w:rFonts w:ascii="Cambria Math" w:hAnsi="Cambria Math" w:cs="Arial"/>
                <w:sz w:val="18"/>
                <w:szCs w:val="18"/>
              </w:rPr>
              <m:t>e</m:t>
            </m:r>
          </m:sub>
        </m:sSub>
      </m:oMath>
      <w:r w:rsidR="00071990" w:rsidRPr="009E6CF2">
        <w:rPr>
          <w:rFonts w:ascii="Arial" w:eastAsiaTheme="minorEastAsia" w:hAnsi="Arial" w:cs="Arial"/>
          <w:b/>
          <w:bCs/>
          <w:sz w:val="18"/>
          <w:szCs w:val="18"/>
        </w:rPr>
        <w:t xml:space="preserve">: factor de </w:t>
      </w:r>
      <w:r w:rsidR="00591389" w:rsidRPr="009E6CF2">
        <w:rPr>
          <w:rFonts w:ascii="Arial" w:eastAsiaTheme="minorEastAsia" w:hAnsi="Arial" w:cs="Arial"/>
          <w:b/>
          <w:bCs/>
          <w:sz w:val="18"/>
          <w:szCs w:val="18"/>
        </w:rPr>
        <w:t xml:space="preserve">crédito </w:t>
      </w:r>
      <w:r w:rsidR="00071990" w:rsidRPr="009E6CF2">
        <w:rPr>
          <w:rFonts w:ascii="Arial" w:eastAsiaTheme="minorEastAsia" w:hAnsi="Arial" w:cs="Arial"/>
          <w:b/>
          <w:bCs/>
          <w:sz w:val="18"/>
          <w:szCs w:val="18"/>
        </w:rPr>
        <w:t xml:space="preserve">para la exposición </w:t>
      </w:r>
      <w:r w:rsidR="008C254F" w:rsidRPr="009E6CF2">
        <w:rPr>
          <w:rFonts w:ascii="Arial" w:eastAsiaTheme="minorEastAsia" w:hAnsi="Arial" w:cs="Arial"/>
          <w:b/>
          <w:bCs/>
          <w:sz w:val="18"/>
          <w:szCs w:val="18"/>
        </w:rPr>
        <w:t>correspondiente al</w:t>
      </w:r>
      <w:r w:rsidR="00A4698D" w:rsidRPr="009E6CF2">
        <w:rPr>
          <w:rFonts w:ascii="Arial" w:eastAsiaTheme="minorEastAsia" w:hAnsi="Arial" w:cs="Arial"/>
          <w:b/>
          <w:bCs/>
          <w:sz w:val="18"/>
          <w:szCs w:val="18"/>
        </w:rPr>
        <w:t xml:space="preserve"> porcentaje de volatilidad </w:t>
      </w:r>
      <w:r w:rsidR="00A940D6" w:rsidRPr="009E6CF2">
        <w:rPr>
          <w:rFonts w:ascii="Arial" w:eastAsiaTheme="minorEastAsia" w:hAnsi="Arial" w:cs="Arial"/>
          <w:b/>
          <w:bCs/>
          <w:sz w:val="18"/>
          <w:szCs w:val="18"/>
        </w:rPr>
        <w:t xml:space="preserve">diario </w:t>
      </w:r>
      <w:r w:rsidR="00A4698D" w:rsidRPr="009E6CF2">
        <w:rPr>
          <w:rFonts w:ascii="Arial" w:eastAsiaTheme="minorEastAsia" w:hAnsi="Arial" w:cs="Arial"/>
          <w:b/>
          <w:bCs/>
          <w:sz w:val="18"/>
          <w:szCs w:val="18"/>
        </w:rPr>
        <w:t xml:space="preserve">determinado </w:t>
      </w:r>
      <w:r w:rsidR="00071990" w:rsidRPr="009E6CF2">
        <w:rPr>
          <w:rFonts w:ascii="Arial" w:eastAsiaTheme="minorEastAsia" w:hAnsi="Arial" w:cs="Arial"/>
          <w:b/>
          <w:bCs/>
          <w:sz w:val="18"/>
          <w:szCs w:val="18"/>
        </w:rPr>
        <w:t xml:space="preserve">de acuerdo con el </w:t>
      </w:r>
      <w:proofErr w:type="spellStart"/>
      <w:r w:rsidR="00071990" w:rsidRPr="009E6CF2">
        <w:rPr>
          <w:rFonts w:ascii="Arial" w:eastAsiaTheme="minorEastAsia" w:hAnsi="Arial" w:cs="Arial"/>
          <w:b/>
          <w:bCs/>
          <w:sz w:val="18"/>
          <w:szCs w:val="18"/>
        </w:rPr>
        <w:t>subnumeral</w:t>
      </w:r>
      <w:proofErr w:type="spellEnd"/>
      <w:r w:rsidR="00071990" w:rsidRPr="009E6CF2">
        <w:rPr>
          <w:rFonts w:ascii="Arial" w:eastAsiaTheme="minorEastAsia" w:hAnsi="Arial" w:cs="Arial"/>
          <w:b/>
          <w:bCs/>
          <w:sz w:val="18"/>
          <w:szCs w:val="18"/>
        </w:rPr>
        <w:t xml:space="preserve"> 1.</w:t>
      </w:r>
      <w:r w:rsidR="00F91AAF" w:rsidRPr="009E6CF2">
        <w:rPr>
          <w:rFonts w:ascii="Arial" w:eastAsiaTheme="minorEastAsia" w:hAnsi="Arial" w:cs="Arial"/>
          <w:b/>
          <w:bCs/>
          <w:sz w:val="18"/>
          <w:szCs w:val="18"/>
        </w:rPr>
        <w:t>4</w:t>
      </w:r>
      <w:r w:rsidR="00071990" w:rsidRPr="009E6CF2">
        <w:rPr>
          <w:rFonts w:ascii="Arial" w:eastAsiaTheme="minorEastAsia" w:hAnsi="Arial" w:cs="Arial"/>
          <w:b/>
          <w:bCs/>
          <w:sz w:val="18"/>
          <w:szCs w:val="18"/>
        </w:rPr>
        <w:t>.</w:t>
      </w:r>
      <w:r w:rsidR="00F91AAF" w:rsidRPr="009E6CF2">
        <w:rPr>
          <w:rFonts w:ascii="Arial" w:eastAsiaTheme="minorEastAsia" w:hAnsi="Arial" w:cs="Arial"/>
          <w:b/>
          <w:bCs/>
          <w:sz w:val="18"/>
          <w:szCs w:val="18"/>
        </w:rPr>
        <w:t>1.2</w:t>
      </w:r>
      <w:r w:rsidR="00071990" w:rsidRPr="009E6CF2">
        <w:rPr>
          <w:rFonts w:ascii="Arial" w:eastAsiaTheme="minorEastAsia" w:hAnsi="Arial" w:cs="Arial"/>
          <w:b/>
          <w:bCs/>
          <w:sz w:val="18"/>
          <w:szCs w:val="18"/>
        </w:rPr>
        <w:t xml:space="preserve"> del Anexo 3 del Capítulo XVIII de la Circular Básica Contable y Financiera</w:t>
      </w:r>
      <w:r w:rsidR="00445A43" w:rsidRPr="009E6CF2">
        <w:rPr>
          <w:rFonts w:ascii="Arial" w:eastAsiaTheme="minorEastAsia" w:hAnsi="Arial" w:cs="Arial"/>
          <w:b/>
          <w:bCs/>
          <w:sz w:val="18"/>
          <w:szCs w:val="18"/>
        </w:rPr>
        <w:t xml:space="preserve">, y </w:t>
      </w:r>
      <w:r w:rsidR="006872F7" w:rsidRPr="009E6CF2">
        <w:rPr>
          <w:rFonts w:ascii="Arial" w:eastAsiaTheme="minorEastAsia" w:hAnsi="Arial" w:cs="Arial"/>
          <w:b/>
          <w:bCs/>
          <w:sz w:val="18"/>
          <w:szCs w:val="18"/>
        </w:rPr>
        <w:t>escalado por el plazo de la operación</w:t>
      </w:r>
      <w:r w:rsidR="00071990" w:rsidRPr="009E6CF2">
        <w:rPr>
          <w:rFonts w:ascii="Arial" w:eastAsiaTheme="minorEastAsia" w:hAnsi="Arial" w:cs="Arial"/>
          <w:b/>
          <w:bCs/>
          <w:sz w:val="18"/>
          <w:szCs w:val="18"/>
        </w:rPr>
        <w:t>.</w:t>
      </w:r>
      <w:r w:rsidR="00E75620" w:rsidRPr="009E6CF2">
        <w:rPr>
          <w:rFonts w:ascii="Arial" w:eastAsiaTheme="minorEastAsia" w:hAnsi="Arial" w:cs="Arial"/>
          <w:b/>
          <w:bCs/>
          <w:sz w:val="18"/>
          <w:szCs w:val="18"/>
        </w:rPr>
        <w:t xml:space="preserve"> </w:t>
      </w:r>
      <w:r w:rsidR="005167F1" w:rsidRPr="009E6CF2">
        <w:rPr>
          <w:rFonts w:ascii="Arial" w:eastAsiaTheme="minorEastAsia" w:hAnsi="Arial" w:cs="Arial"/>
          <w:b/>
          <w:bCs/>
          <w:sz w:val="18"/>
          <w:szCs w:val="18"/>
        </w:rPr>
        <w:t xml:space="preserve">Para efectivo </w:t>
      </w:r>
      <m:oMath>
        <m:sSub>
          <m:sSubPr>
            <m:ctrlPr>
              <w:rPr>
                <w:rFonts w:ascii="Cambria Math" w:hAnsi="Cambria Math" w:cs="Arial"/>
                <w:b/>
                <w:bCs/>
                <w:i/>
                <w:sz w:val="18"/>
                <w:szCs w:val="18"/>
              </w:rPr>
            </m:ctrlPr>
          </m:sSubPr>
          <m:e>
            <m:r>
              <m:rPr>
                <m:sty m:val="bi"/>
              </m:rPr>
              <w:rPr>
                <w:rFonts w:ascii="Cambria Math" w:hAnsi="Cambria Math" w:cs="Arial"/>
                <w:sz w:val="18"/>
                <w:szCs w:val="18"/>
              </w:rPr>
              <m:t>H</m:t>
            </m:r>
          </m:e>
          <m:sub>
            <m:r>
              <m:rPr>
                <m:sty m:val="bi"/>
              </m:rPr>
              <w:rPr>
                <w:rFonts w:ascii="Cambria Math" w:hAnsi="Cambria Math" w:cs="Arial"/>
                <w:sz w:val="18"/>
                <w:szCs w:val="18"/>
              </w:rPr>
              <m:t>e</m:t>
            </m:r>
          </m:sub>
        </m:sSub>
      </m:oMath>
      <w:r w:rsidR="005167F1" w:rsidRPr="009E6CF2">
        <w:rPr>
          <w:rFonts w:ascii="Arial" w:eastAsiaTheme="minorEastAsia" w:hAnsi="Arial" w:cs="Arial"/>
          <w:b/>
          <w:bCs/>
          <w:sz w:val="18"/>
          <w:szCs w:val="18"/>
        </w:rPr>
        <w:t xml:space="preserve"> será igual a 0.</w:t>
      </w:r>
    </w:p>
    <w:p w14:paraId="7CF0F7BD" w14:textId="6AC7A7EC" w:rsidR="00071990" w:rsidRPr="009E6CF2" w:rsidRDefault="00C11031" w:rsidP="009E6CF2">
      <w:pPr>
        <w:pBdr>
          <w:left w:val="single" w:sz="4" w:space="1" w:color="auto"/>
        </w:pBdr>
        <w:jc w:val="both"/>
        <w:rPr>
          <w:rFonts w:ascii="Arial" w:eastAsiaTheme="minorEastAsia" w:hAnsi="Arial" w:cs="Arial"/>
          <w:b/>
          <w:bCs/>
          <w:sz w:val="18"/>
          <w:szCs w:val="18"/>
        </w:rPr>
      </w:pPr>
      <m:oMath>
        <m:sSub>
          <m:sSubPr>
            <m:ctrlPr>
              <w:rPr>
                <w:rFonts w:ascii="Cambria Math" w:eastAsiaTheme="minorEastAsia" w:hAnsi="Cambria Math" w:cs="Arial"/>
                <w:b/>
                <w:bCs/>
                <w:i/>
                <w:sz w:val="18"/>
                <w:szCs w:val="18"/>
              </w:rPr>
            </m:ctrlPr>
          </m:sSubPr>
          <m:e>
            <m:r>
              <m:rPr>
                <m:sty m:val="bi"/>
              </m:rPr>
              <w:rPr>
                <w:rFonts w:ascii="Cambria Math" w:eastAsiaTheme="minorEastAsia" w:hAnsi="Cambria Math" w:cs="Arial"/>
                <w:sz w:val="18"/>
                <w:szCs w:val="18"/>
              </w:rPr>
              <m:t>C</m:t>
            </m:r>
          </m:e>
          <m:sub>
            <m:r>
              <m:rPr>
                <m:sty m:val="bi"/>
              </m:rPr>
              <w:rPr>
                <w:rFonts w:ascii="Cambria Math" w:eastAsiaTheme="minorEastAsia" w:hAnsi="Cambria Math" w:cs="Arial"/>
                <w:sz w:val="18"/>
                <w:szCs w:val="18"/>
              </w:rPr>
              <m:t>i</m:t>
            </m:r>
          </m:sub>
        </m:sSub>
      </m:oMath>
      <w:r w:rsidR="00071990" w:rsidRPr="009E6CF2">
        <w:rPr>
          <w:rFonts w:ascii="Arial" w:eastAsiaTheme="minorEastAsia" w:hAnsi="Arial" w:cs="Arial"/>
          <w:b/>
          <w:bCs/>
          <w:sz w:val="18"/>
          <w:szCs w:val="18"/>
        </w:rPr>
        <w:t>: valor razonable de la garantía admisible</w:t>
      </w:r>
      <w:r w:rsidR="00C34258" w:rsidRPr="009E6CF2">
        <w:rPr>
          <w:rFonts w:ascii="Arial" w:eastAsiaTheme="minorEastAsia" w:hAnsi="Arial" w:cs="Arial"/>
          <w:b/>
          <w:bCs/>
          <w:sz w:val="18"/>
          <w:szCs w:val="18"/>
        </w:rPr>
        <w:t xml:space="preserve"> para la </w:t>
      </w:r>
      <w:r w:rsidR="00427942">
        <w:rPr>
          <w:rFonts w:ascii="Arial" w:eastAsiaTheme="minorEastAsia" w:hAnsi="Arial" w:cs="Arial"/>
          <w:b/>
          <w:bCs/>
          <w:sz w:val="18"/>
          <w:szCs w:val="18"/>
        </w:rPr>
        <w:t>operació</w:t>
      </w:r>
      <w:r w:rsidR="00C34258" w:rsidRPr="009E6CF2">
        <w:rPr>
          <w:rFonts w:ascii="Arial" w:eastAsiaTheme="minorEastAsia" w:hAnsi="Arial" w:cs="Arial"/>
          <w:b/>
          <w:bCs/>
          <w:sz w:val="18"/>
          <w:szCs w:val="18"/>
        </w:rPr>
        <w:t xml:space="preserve">n </w:t>
      </w:r>
      <m:oMath>
        <m:r>
          <m:rPr>
            <m:sty m:val="bi"/>
          </m:rPr>
          <w:rPr>
            <w:rFonts w:ascii="Cambria Math" w:eastAsiaTheme="minorEastAsia" w:hAnsi="Cambria Math" w:cs="Arial"/>
            <w:sz w:val="18"/>
            <w:szCs w:val="18"/>
          </w:rPr>
          <m:t>i</m:t>
        </m:r>
      </m:oMath>
      <w:r w:rsidR="00071990" w:rsidRPr="009E6CF2">
        <w:rPr>
          <w:rFonts w:ascii="Arial" w:eastAsiaTheme="minorEastAsia" w:hAnsi="Arial" w:cs="Arial"/>
          <w:b/>
          <w:bCs/>
          <w:sz w:val="18"/>
          <w:szCs w:val="18"/>
        </w:rPr>
        <w:t xml:space="preserve">. </w:t>
      </w:r>
    </w:p>
    <w:p w14:paraId="21D7EF51" w14:textId="77777777" w:rsidR="00CA0833" w:rsidRDefault="00C11031" w:rsidP="44D50F15">
      <w:pPr>
        <w:pBdr>
          <w:left w:val="single" w:sz="4" w:space="1" w:color="auto"/>
        </w:pBdr>
        <w:jc w:val="both"/>
        <w:rPr>
          <w:rFonts w:ascii="Arial" w:eastAsiaTheme="minorEastAsia" w:hAnsi="Arial" w:cs="Arial"/>
          <w:b/>
          <w:bCs/>
          <w:sz w:val="18"/>
          <w:szCs w:val="18"/>
        </w:rPr>
        <w:sectPr w:rsidR="00CA0833" w:rsidSect="00CA0833">
          <w:headerReference w:type="default" r:id="rId10"/>
          <w:pgSz w:w="12240" w:h="18720" w:code="148"/>
          <w:pgMar w:top="1417" w:right="1701" w:bottom="1417" w:left="1701" w:header="708" w:footer="708" w:gutter="0"/>
          <w:cols w:space="708"/>
          <w:docGrid w:linePitch="360"/>
        </w:sectPr>
      </w:pPr>
      <m:oMath>
        <m:sSub>
          <m:sSubPr>
            <m:ctrlPr>
              <w:rPr>
                <w:rFonts w:ascii="Cambria Math" w:hAnsi="Cambria Math" w:cs="Arial"/>
                <w:b/>
                <w:bCs/>
                <w:i/>
                <w:sz w:val="18"/>
                <w:szCs w:val="18"/>
              </w:rPr>
            </m:ctrlPr>
          </m:sSubPr>
          <m:e>
            <m:r>
              <m:rPr>
                <m:sty m:val="bi"/>
              </m:rPr>
              <w:rPr>
                <w:rFonts w:ascii="Cambria Math" w:hAnsi="Cambria Math" w:cs="Arial"/>
                <w:sz w:val="18"/>
                <w:szCs w:val="18"/>
              </w:rPr>
              <m:t>H</m:t>
            </m:r>
          </m:e>
          <m:sub>
            <m:r>
              <m:rPr>
                <m:sty m:val="bi"/>
              </m:rPr>
              <w:rPr>
                <w:rFonts w:ascii="Cambria Math" w:hAnsi="Cambria Math" w:cs="Arial"/>
                <w:sz w:val="18"/>
                <w:szCs w:val="18"/>
              </w:rPr>
              <m:t>c</m:t>
            </m:r>
          </m:sub>
        </m:sSub>
      </m:oMath>
      <w:r w:rsidR="00071990" w:rsidRPr="44D50F15">
        <w:rPr>
          <w:rFonts w:ascii="Arial" w:eastAsiaTheme="minorEastAsia" w:hAnsi="Arial" w:cs="Arial"/>
          <w:b/>
          <w:bCs/>
          <w:sz w:val="18"/>
          <w:szCs w:val="18"/>
        </w:rPr>
        <w:t xml:space="preserve">: </w:t>
      </w:r>
      <w:proofErr w:type="spellStart"/>
      <w:r w:rsidR="00071990" w:rsidRPr="44D50F15">
        <w:rPr>
          <w:rFonts w:ascii="Arial" w:eastAsiaTheme="minorEastAsia" w:hAnsi="Arial" w:cs="Arial"/>
          <w:b/>
          <w:bCs/>
          <w:i/>
          <w:iCs/>
          <w:sz w:val="18"/>
          <w:szCs w:val="18"/>
        </w:rPr>
        <w:t>haircut</w:t>
      </w:r>
      <w:proofErr w:type="spellEnd"/>
      <w:r w:rsidR="00071990" w:rsidRPr="44D50F15">
        <w:rPr>
          <w:rFonts w:ascii="Arial" w:eastAsiaTheme="minorEastAsia" w:hAnsi="Arial" w:cs="Arial"/>
          <w:b/>
          <w:bCs/>
          <w:sz w:val="18"/>
          <w:szCs w:val="18"/>
        </w:rPr>
        <w:t xml:space="preserve"> o factor de descuento para la garantía de acuerdo con el </w:t>
      </w:r>
      <w:proofErr w:type="spellStart"/>
      <w:r w:rsidR="00071990" w:rsidRPr="44D50F15">
        <w:rPr>
          <w:rFonts w:ascii="Arial" w:eastAsiaTheme="minorEastAsia" w:hAnsi="Arial" w:cs="Arial"/>
          <w:b/>
          <w:bCs/>
          <w:sz w:val="18"/>
          <w:szCs w:val="18"/>
        </w:rPr>
        <w:t>subnumeral</w:t>
      </w:r>
      <w:proofErr w:type="spellEnd"/>
      <w:r w:rsidR="00071990" w:rsidRPr="44D50F15">
        <w:rPr>
          <w:rFonts w:ascii="Arial" w:eastAsiaTheme="minorEastAsia" w:hAnsi="Arial" w:cs="Arial"/>
          <w:b/>
          <w:bCs/>
          <w:sz w:val="18"/>
          <w:szCs w:val="18"/>
        </w:rPr>
        <w:t xml:space="preserve"> 1.3. del Anexo 3 del Capítulo XVIII de la Circular Básica Contable y Financiera.</w:t>
      </w:r>
      <w:r w:rsidR="00125011" w:rsidRPr="44D50F15">
        <w:rPr>
          <w:rFonts w:ascii="Arial" w:eastAsiaTheme="minorEastAsia" w:hAnsi="Arial" w:cs="Arial"/>
          <w:b/>
          <w:bCs/>
          <w:sz w:val="18"/>
          <w:szCs w:val="18"/>
        </w:rPr>
        <w:t xml:space="preserve"> Para el caso de las garantías no contempladas en el mencionado </w:t>
      </w:r>
      <w:proofErr w:type="spellStart"/>
      <w:r w:rsidR="00125011" w:rsidRPr="44D50F15">
        <w:rPr>
          <w:rFonts w:ascii="Arial" w:eastAsiaTheme="minorEastAsia" w:hAnsi="Arial" w:cs="Arial"/>
          <w:b/>
          <w:bCs/>
          <w:sz w:val="18"/>
          <w:szCs w:val="18"/>
        </w:rPr>
        <w:t>subnumeral</w:t>
      </w:r>
      <w:proofErr w:type="spellEnd"/>
      <w:r w:rsidR="00125011" w:rsidRPr="44D50F15">
        <w:rPr>
          <w:rFonts w:ascii="Arial" w:eastAsiaTheme="minorEastAsia" w:hAnsi="Arial" w:cs="Arial"/>
          <w:b/>
          <w:bCs/>
          <w:sz w:val="18"/>
          <w:szCs w:val="18"/>
        </w:rPr>
        <w:t>, la entidad</w:t>
      </w:r>
      <w:r w:rsidR="00E73482" w:rsidRPr="44D50F15">
        <w:rPr>
          <w:rFonts w:ascii="Arial" w:eastAsiaTheme="minorEastAsia" w:hAnsi="Arial" w:cs="Arial"/>
          <w:b/>
          <w:bCs/>
          <w:sz w:val="18"/>
          <w:szCs w:val="18"/>
        </w:rPr>
        <w:t xml:space="preserve"> deberá implementar modelos internos que permitan determinar un </w:t>
      </w:r>
      <w:proofErr w:type="spellStart"/>
      <w:r w:rsidR="00E73482" w:rsidRPr="44D50F15">
        <w:rPr>
          <w:rFonts w:ascii="Arial" w:eastAsiaTheme="minorEastAsia" w:hAnsi="Arial" w:cs="Arial"/>
          <w:b/>
          <w:bCs/>
          <w:i/>
          <w:iCs/>
          <w:sz w:val="18"/>
          <w:szCs w:val="18"/>
        </w:rPr>
        <w:t>haircut</w:t>
      </w:r>
      <w:proofErr w:type="spellEnd"/>
      <w:r w:rsidR="008D2058" w:rsidRPr="44D50F15">
        <w:rPr>
          <w:rFonts w:ascii="Arial" w:eastAsiaTheme="minorEastAsia" w:hAnsi="Arial" w:cs="Arial"/>
          <w:b/>
          <w:bCs/>
          <w:i/>
          <w:iCs/>
          <w:sz w:val="18"/>
          <w:szCs w:val="18"/>
        </w:rPr>
        <w:t xml:space="preserve"> </w:t>
      </w:r>
      <w:r w:rsidR="002A3E3D" w:rsidRPr="44D50F15">
        <w:rPr>
          <w:rFonts w:ascii="Arial" w:eastAsiaTheme="minorEastAsia" w:hAnsi="Arial" w:cs="Arial"/>
          <w:b/>
          <w:bCs/>
          <w:sz w:val="18"/>
          <w:szCs w:val="18"/>
        </w:rPr>
        <w:t>que contemple variables de mercado tales como</w:t>
      </w:r>
      <w:r w:rsidR="61474CDC" w:rsidRPr="44D50F15">
        <w:rPr>
          <w:rFonts w:ascii="Arial" w:eastAsiaTheme="minorEastAsia" w:hAnsi="Arial" w:cs="Arial"/>
          <w:b/>
          <w:bCs/>
          <w:sz w:val="18"/>
          <w:szCs w:val="18"/>
        </w:rPr>
        <w:t>:</w:t>
      </w:r>
      <w:r w:rsidR="002A3E3D" w:rsidRPr="44D50F15">
        <w:rPr>
          <w:rFonts w:ascii="Arial" w:eastAsiaTheme="minorEastAsia" w:hAnsi="Arial" w:cs="Arial"/>
          <w:b/>
          <w:bCs/>
          <w:sz w:val="18"/>
          <w:szCs w:val="18"/>
        </w:rPr>
        <w:t xml:space="preserve"> volatilidad</w:t>
      </w:r>
      <w:r w:rsidR="00492F41" w:rsidRPr="44D50F15">
        <w:rPr>
          <w:rFonts w:ascii="Arial" w:eastAsiaTheme="minorEastAsia" w:hAnsi="Arial" w:cs="Arial"/>
          <w:b/>
          <w:bCs/>
          <w:sz w:val="18"/>
          <w:szCs w:val="18"/>
        </w:rPr>
        <w:t>, liquidez</w:t>
      </w:r>
      <w:r w:rsidR="002A3E3D" w:rsidRPr="44D50F15">
        <w:rPr>
          <w:rFonts w:ascii="Arial" w:eastAsiaTheme="minorEastAsia" w:hAnsi="Arial" w:cs="Arial"/>
          <w:b/>
          <w:bCs/>
          <w:sz w:val="18"/>
          <w:szCs w:val="18"/>
        </w:rPr>
        <w:t xml:space="preserve"> </w:t>
      </w:r>
      <w:r w:rsidR="00130144" w:rsidRPr="44D50F15">
        <w:rPr>
          <w:rFonts w:ascii="Arial" w:eastAsiaTheme="minorEastAsia" w:hAnsi="Arial" w:cs="Arial"/>
          <w:b/>
          <w:bCs/>
          <w:sz w:val="18"/>
          <w:szCs w:val="18"/>
        </w:rPr>
        <w:t>y</w:t>
      </w:r>
      <w:r w:rsidR="22110BDC" w:rsidRPr="44D50F15">
        <w:rPr>
          <w:rFonts w:ascii="Arial" w:eastAsiaTheme="minorEastAsia" w:hAnsi="Arial" w:cs="Arial"/>
          <w:b/>
          <w:bCs/>
          <w:sz w:val="18"/>
          <w:szCs w:val="18"/>
        </w:rPr>
        <w:t xml:space="preserve"> </w:t>
      </w:r>
    </w:p>
    <w:p w14:paraId="435CF5A9" w14:textId="088423CD" w:rsidR="00071990" w:rsidRPr="009E6CF2" w:rsidRDefault="00130144" w:rsidP="44D50F15">
      <w:pPr>
        <w:pBdr>
          <w:left w:val="single" w:sz="4" w:space="1" w:color="auto"/>
        </w:pBdr>
        <w:jc w:val="both"/>
        <w:rPr>
          <w:rFonts w:ascii="Arial" w:hAnsi="Arial" w:cs="Arial"/>
          <w:b/>
          <w:bCs/>
          <w:sz w:val="18"/>
          <w:szCs w:val="18"/>
        </w:rPr>
      </w:pPr>
      <w:r w:rsidRPr="44D50F15">
        <w:rPr>
          <w:rFonts w:ascii="Arial" w:eastAsiaTheme="minorEastAsia" w:hAnsi="Arial" w:cs="Arial"/>
          <w:b/>
          <w:bCs/>
          <w:sz w:val="18"/>
          <w:szCs w:val="18"/>
        </w:rPr>
        <w:lastRenderedPageBreak/>
        <w:t xml:space="preserve">calificación crediticia de la contraparte. </w:t>
      </w:r>
      <w:r w:rsidR="007C0647" w:rsidRPr="44D50F15">
        <w:rPr>
          <w:rFonts w:ascii="Arial" w:eastAsiaTheme="minorEastAsia" w:hAnsi="Arial" w:cs="Arial"/>
          <w:b/>
          <w:bCs/>
          <w:sz w:val="18"/>
          <w:szCs w:val="18"/>
        </w:rPr>
        <w:t xml:space="preserve">Para estos efectos, </w:t>
      </w:r>
      <w:r w:rsidR="00407290" w:rsidRPr="44D50F15">
        <w:rPr>
          <w:rFonts w:ascii="Arial" w:eastAsiaTheme="minorEastAsia" w:hAnsi="Arial" w:cs="Arial"/>
          <w:b/>
          <w:bCs/>
          <w:sz w:val="18"/>
          <w:szCs w:val="18"/>
        </w:rPr>
        <w:t xml:space="preserve">las entidades deberán </w:t>
      </w:r>
      <w:r w:rsidR="00612E96" w:rsidRPr="44D50F15">
        <w:rPr>
          <w:rFonts w:ascii="Arial" w:eastAsiaTheme="minorEastAsia" w:hAnsi="Arial" w:cs="Arial"/>
          <w:b/>
          <w:bCs/>
          <w:sz w:val="18"/>
          <w:szCs w:val="18"/>
        </w:rPr>
        <w:t>utilizar</w:t>
      </w:r>
      <w:r w:rsidR="00407290" w:rsidRPr="44D50F15">
        <w:rPr>
          <w:rFonts w:ascii="Arial" w:eastAsiaTheme="minorEastAsia" w:hAnsi="Arial" w:cs="Arial"/>
          <w:b/>
          <w:bCs/>
          <w:sz w:val="18"/>
          <w:szCs w:val="18"/>
        </w:rPr>
        <w:t xml:space="preserve"> información histórica </w:t>
      </w:r>
      <w:r w:rsidR="005C769D" w:rsidRPr="44D50F15">
        <w:rPr>
          <w:rFonts w:ascii="Arial" w:eastAsiaTheme="minorEastAsia" w:hAnsi="Arial" w:cs="Arial"/>
          <w:b/>
          <w:bCs/>
          <w:sz w:val="18"/>
          <w:szCs w:val="18"/>
        </w:rPr>
        <w:t xml:space="preserve">reciente que permita capturar la volatilidad y liquidez actual de mercado </w:t>
      </w:r>
      <w:r w:rsidR="00407290" w:rsidRPr="44D50F15">
        <w:rPr>
          <w:rFonts w:ascii="Arial" w:eastAsiaTheme="minorEastAsia" w:hAnsi="Arial" w:cs="Arial"/>
          <w:b/>
          <w:bCs/>
          <w:sz w:val="18"/>
          <w:szCs w:val="18"/>
        </w:rPr>
        <w:t xml:space="preserve">de </w:t>
      </w:r>
      <w:r w:rsidR="005C769D" w:rsidRPr="44D50F15">
        <w:rPr>
          <w:rFonts w:ascii="Arial" w:eastAsiaTheme="minorEastAsia" w:hAnsi="Arial" w:cs="Arial"/>
          <w:b/>
          <w:bCs/>
          <w:sz w:val="18"/>
          <w:szCs w:val="18"/>
        </w:rPr>
        <w:t>los activos entregados en garantía.</w:t>
      </w:r>
      <w:r w:rsidR="008B1D1E" w:rsidRPr="44D50F15">
        <w:rPr>
          <w:rFonts w:ascii="Arial" w:eastAsiaTheme="minorEastAsia" w:hAnsi="Arial" w:cs="Arial"/>
          <w:b/>
          <w:bCs/>
          <w:sz w:val="18"/>
          <w:szCs w:val="18"/>
        </w:rPr>
        <w:t xml:space="preserve"> </w:t>
      </w:r>
      <w:r w:rsidR="00D71E79" w:rsidRPr="44D50F15">
        <w:rPr>
          <w:rFonts w:ascii="Arial" w:eastAsiaTheme="minorEastAsia" w:hAnsi="Arial" w:cs="Arial"/>
          <w:b/>
          <w:bCs/>
          <w:sz w:val="18"/>
          <w:szCs w:val="18"/>
        </w:rPr>
        <w:t xml:space="preserve"> </w:t>
      </w:r>
    </w:p>
    <w:p w14:paraId="604932BA" w14:textId="44646D7D" w:rsidR="00071990" w:rsidRPr="009E6CF2" w:rsidRDefault="00071990" w:rsidP="44D50F15">
      <w:pPr>
        <w:pBdr>
          <w:left w:val="single" w:sz="4" w:space="1" w:color="auto"/>
        </w:pBdr>
        <w:spacing w:after="0"/>
        <w:jc w:val="both"/>
        <w:rPr>
          <w:rFonts w:ascii="Arial" w:hAnsi="Arial" w:cs="Arial"/>
          <w:b/>
          <w:bCs/>
          <w:sz w:val="18"/>
          <w:szCs w:val="18"/>
        </w:rPr>
      </w:pPr>
      <w:r w:rsidRPr="44D50F15">
        <w:rPr>
          <w:rFonts w:ascii="Arial" w:hAnsi="Arial" w:cs="Arial"/>
          <w:b/>
          <w:bCs/>
          <w:sz w:val="18"/>
          <w:szCs w:val="18"/>
        </w:rPr>
        <w:t xml:space="preserve">La EAD </w:t>
      </w:r>
      <w:r w:rsidR="3DCF2FCD" w:rsidRPr="44D50F15">
        <w:rPr>
          <w:rFonts w:ascii="Arial" w:hAnsi="Arial" w:cs="Arial"/>
          <w:b/>
          <w:bCs/>
          <w:sz w:val="18"/>
          <w:szCs w:val="18"/>
        </w:rPr>
        <w:t xml:space="preserve">es igual a 0 cuando se trate </w:t>
      </w:r>
      <w:r w:rsidRPr="44D50F15">
        <w:rPr>
          <w:rFonts w:ascii="Arial" w:hAnsi="Arial" w:cs="Arial"/>
          <w:b/>
          <w:bCs/>
          <w:sz w:val="18"/>
          <w:szCs w:val="18"/>
        </w:rPr>
        <w:t xml:space="preserve">de operaciones en las que la </w:t>
      </w:r>
      <w:r w:rsidR="009E642A" w:rsidRPr="44D50F15">
        <w:rPr>
          <w:rFonts w:ascii="Arial" w:hAnsi="Arial" w:cs="Arial"/>
          <w:b/>
          <w:bCs/>
          <w:sz w:val="18"/>
          <w:szCs w:val="18"/>
        </w:rPr>
        <w:t>c</w:t>
      </w:r>
      <w:r w:rsidRPr="44D50F15">
        <w:rPr>
          <w:rFonts w:ascii="Arial" w:hAnsi="Arial" w:cs="Arial"/>
          <w:b/>
          <w:bCs/>
          <w:sz w:val="18"/>
          <w:szCs w:val="18"/>
        </w:rPr>
        <w:t xml:space="preserve">ontraparte sea </w:t>
      </w:r>
      <w:r w:rsidR="009E642A" w:rsidRPr="44D50F15">
        <w:rPr>
          <w:rFonts w:ascii="Arial" w:hAnsi="Arial" w:cs="Arial"/>
          <w:b/>
          <w:bCs/>
          <w:sz w:val="18"/>
          <w:szCs w:val="18"/>
        </w:rPr>
        <w:t>la Nación, el</w:t>
      </w:r>
      <w:r w:rsidRPr="44D50F15">
        <w:rPr>
          <w:rFonts w:ascii="Arial" w:hAnsi="Arial" w:cs="Arial"/>
          <w:b/>
          <w:bCs/>
          <w:sz w:val="18"/>
          <w:szCs w:val="18"/>
        </w:rPr>
        <w:t xml:space="preserve"> Banco de la República, el Banco Mundial, el Banco de Pagos Internacionales, el Fondo Monetario Internacional, el Banco Interamericano de Desarrollo, el Banco Central Europeo</w:t>
      </w:r>
      <w:r w:rsidR="07CA14D9" w:rsidRPr="44D50F15">
        <w:rPr>
          <w:rFonts w:ascii="Arial" w:hAnsi="Arial" w:cs="Arial"/>
          <w:b/>
          <w:bCs/>
          <w:sz w:val="18"/>
          <w:szCs w:val="18"/>
        </w:rPr>
        <w:t>,</w:t>
      </w:r>
      <w:r w:rsidRPr="44D50F15">
        <w:rPr>
          <w:rFonts w:ascii="Arial" w:hAnsi="Arial" w:cs="Arial"/>
          <w:b/>
          <w:bCs/>
          <w:sz w:val="18"/>
          <w:szCs w:val="18"/>
        </w:rPr>
        <w:t xml:space="preserve"> los vehículos de inversión, organismos y agencias que hagan parte o sean administrados por estos, así como los avalados o garantizados por estos, o aquellas en las que una CRCC haya aceptado interponerse como Contraparte.</w:t>
      </w:r>
    </w:p>
    <w:p w14:paraId="732BFDB5" w14:textId="77777777" w:rsidR="00071990" w:rsidRPr="009E6CF2" w:rsidRDefault="00071990" w:rsidP="009E6CF2">
      <w:pPr>
        <w:pBdr>
          <w:left w:val="single" w:sz="4" w:space="1" w:color="auto"/>
        </w:pBdr>
        <w:spacing w:after="0" w:line="240" w:lineRule="auto"/>
        <w:jc w:val="both"/>
        <w:rPr>
          <w:rFonts w:ascii="Arial" w:eastAsiaTheme="minorEastAsia" w:hAnsi="Arial" w:cs="Arial"/>
          <w:b/>
          <w:bCs/>
          <w:sz w:val="18"/>
          <w:szCs w:val="18"/>
        </w:rPr>
      </w:pPr>
    </w:p>
    <w:p w14:paraId="79B0F76B" w14:textId="7D0AAA2E" w:rsidR="00071990" w:rsidRPr="009E6CF2" w:rsidRDefault="00071990" w:rsidP="009E6CF2">
      <w:pPr>
        <w:pStyle w:val="Prrafodelista"/>
        <w:numPr>
          <w:ilvl w:val="0"/>
          <w:numId w:val="2"/>
        </w:numPr>
        <w:pBdr>
          <w:left w:val="single" w:sz="4" w:space="1" w:color="auto"/>
        </w:pBdr>
        <w:ind w:left="426" w:hanging="426"/>
        <w:jc w:val="both"/>
        <w:rPr>
          <w:rFonts w:ascii="Arial" w:hAnsi="Arial" w:cs="Arial"/>
          <w:b/>
          <w:bCs/>
          <w:sz w:val="18"/>
          <w:szCs w:val="18"/>
        </w:rPr>
      </w:pPr>
      <w:r w:rsidRPr="009E6CF2">
        <w:rPr>
          <w:rFonts w:ascii="Arial" w:hAnsi="Arial" w:cs="Arial"/>
          <w:b/>
          <w:bCs/>
          <w:sz w:val="18"/>
          <w:szCs w:val="18"/>
        </w:rPr>
        <w:t>Pérdida dado el incumplimiento (PDI)</w:t>
      </w:r>
    </w:p>
    <w:p w14:paraId="1510CF04" w14:textId="5C1BAF75" w:rsidR="00071990" w:rsidRPr="009E6CF2" w:rsidRDefault="00071990"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 xml:space="preserve">Es una estimación de las pérdidas económicas en las que puede incurrir la entidad por efecto del Incumplimiento de un </w:t>
      </w:r>
      <w:r w:rsidR="007C664E">
        <w:rPr>
          <w:rFonts w:ascii="Arial" w:hAnsi="Arial" w:cs="Arial"/>
          <w:b/>
          <w:bCs/>
          <w:sz w:val="18"/>
          <w:szCs w:val="18"/>
        </w:rPr>
        <w:t>tercero</w:t>
      </w:r>
      <w:r w:rsidRPr="009E6CF2">
        <w:rPr>
          <w:rFonts w:ascii="Arial" w:hAnsi="Arial" w:cs="Arial"/>
          <w:b/>
          <w:bCs/>
          <w:sz w:val="18"/>
          <w:szCs w:val="18"/>
        </w:rPr>
        <w:t xml:space="preserve"> o una </w:t>
      </w:r>
      <w:r w:rsidR="004135D4" w:rsidRPr="009E6CF2">
        <w:rPr>
          <w:rFonts w:ascii="Arial" w:hAnsi="Arial" w:cs="Arial"/>
          <w:b/>
          <w:bCs/>
          <w:sz w:val="18"/>
          <w:szCs w:val="18"/>
        </w:rPr>
        <w:t>c</w:t>
      </w:r>
      <w:r w:rsidRPr="009E6CF2">
        <w:rPr>
          <w:rFonts w:ascii="Arial" w:hAnsi="Arial" w:cs="Arial"/>
          <w:b/>
          <w:bCs/>
          <w:sz w:val="18"/>
          <w:szCs w:val="18"/>
        </w:rPr>
        <w:t>ontraparte. La pérdida dado el incumplimiento se determina así:</w:t>
      </w:r>
    </w:p>
    <w:p w14:paraId="40E28BC5" w14:textId="3B703CE4" w:rsidR="00071990" w:rsidRPr="009E6CF2" w:rsidRDefault="00C11031" w:rsidP="009E6CF2">
      <w:pPr>
        <w:pBdr>
          <w:left w:val="single" w:sz="4" w:space="1" w:color="auto"/>
        </w:pBdr>
        <w:jc w:val="both"/>
        <w:rPr>
          <w:rFonts w:ascii="Arial" w:hAnsi="Arial" w:cs="Arial"/>
          <w:b/>
          <w:bCs/>
          <w:sz w:val="18"/>
          <w:szCs w:val="18"/>
        </w:rPr>
      </w:pPr>
      <m:oMathPara>
        <m:oMath>
          <m:sSub>
            <m:sSubPr>
              <m:ctrlPr>
                <w:rPr>
                  <w:rFonts w:ascii="Cambria Math" w:hAnsi="Cambria Math" w:cs="Arial"/>
                  <w:b/>
                  <w:bCs/>
                  <w:i/>
                  <w:sz w:val="18"/>
                  <w:szCs w:val="18"/>
                </w:rPr>
              </m:ctrlPr>
            </m:sSubPr>
            <m:e>
              <m:r>
                <m:rPr>
                  <m:sty m:val="bi"/>
                </m:rPr>
                <w:rPr>
                  <w:rFonts w:ascii="Cambria Math" w:hAnsi="Cambria Math" w:cs="Arial"/>
                  <w:sz w:val="18"/>
                  <w:szCs w:val="18"/>
                </w:rPr>
                <m:t>PDI</m:t>
              </m:r>
            </m:e>
            <m:sub>
              <m:r>
                <m:rPr>
                  <m:sty m:val="bi"/>
                </m:rPr>
                <w:rPr>
                  <w:rFonts w:ascii="Cambria Math" w:hAnsi="Cambria Math" w:cs="Arial"/>
                  <w:sz w:val="18"/>
                  <w:szCs w:val="18"/>
                </w:rPr>
                <m:t>i</m:t>
              </m:r>
            </m:sub>
          </m:sSub>
          <m:r>
            <m:rPr>
              <m:sty m:val="b"/>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EAD</m:t>
              </m:r>
            </m:e>
            <m:sub>
              <m:r>
                <m:rPr>
                  <m:sty m:val="bi"/>
                </m:rPr>
                <w:rPr>
                  <w:rFonts w:ascii="Cambria Math" w:hAnsi="Cambria Math" w:cs="Arial"/>
                  <w:sz w:val="18"/>
                  <w:szCs w:val="18"/>
                </w:rPr>
                <m:t>i</m:t>
              </m:r>
            </m:sub>
          </m:sSub>
          <m:r>
            <m:rPr>
              <m:sty m:val="b"/>
            </m:rPr>
            <w:rPr>
              <w:rFonts w:ascii="Cambria Math" w:hAnsi="Cambria Math" w:cs="Arial"/>
              <w:sz w:val="18"/>
              <w:szCs w:val="18"/>
            </w:rPr>
            <m:t>*</m:t>
          </m:r>
          <m:sSub>
            <m:sSubPr>
              <m:ctrlPr>
                <w:rPr>
                  <w:rFonts w:ascii="Cambria Math" w:hAnsi="Cambria Math" w:cs="Arial"/>
                  <w:b/>
                  <w:bCs/>
                  <w:i/>
                  <w:sz w:val="18"/>
                  <w:szCs w:val="18"/>
                </w:rPr>
              </m:ctrlPr>
            </m:sSubPr>
            <m:e>
              <m:r>
                <m:rPr>
                  <m:sty m:val="bi"/>
                </m:rPr>
                <w:rPr>
                  <w:rFonts w:ascii="Cambria Math" w:hAnsi="Cambria Math" w:cs="Arial"/>
                  <w:sz w:val="18"/>
                  <w:szCs w:val="18"/>
                </w:rPr>
                <m:t>Probabilidad</m:t>
              </m:r>
              <m:r>
                <m:rPr>
                  <m:sty m:val="b"/>
                </m:rPr>
                <w:rPr>
                  <w:rFonts w:ascii="Cambria Math" w:hAnsi="Cambria Math" w:cs="Arial"/>
                  <w:sz w:val="18"/>
                  <w:szCs w:val="18"/>
                </w:rPr>
                <m:t xml:space="preserve"> </m:t>
              </m:r>
              <m:r>
                <m:rPr>
                  <m:sty m:val="bi"/>
                </m:rPr>
                <w:rPr>
                  <w:rFonts w:ascii="Cambria Math" w:hAnsi="Cambria Math" w:cs="Arial"/>
                  <w:sz w:val="18"/>
                  <w:szCs w:val="18"/>
                </w:rPr>
                <m:t>de</m:t>
              </m:r>
              <m:r>
                <m:rPr>
                  <m:sty m:val="b"/>
                </m:rPr>
                <w:rPr>
                  <w:rFonts w:ascii="Cambria Math" w:hAnsi="Cambria Math" w:cs="Arial"/>
                  <w:sz w:val="18"/>
                  <w:szCs w:val="18"/>
                </w:rPr>
                <m:t xml:space="preserve"> </m:t>
              </m:r>
              <m:r>
                <m:rPr>
                  <m:sty m:val="bi"/>
                </m:rPr>
                <w:rPr>
                  <w:rFonts w:ascii="Cambria Math" w:hAnsi="Cambria Math" w:cs="Arial"/>
                  <w:sz w:val="18"/>
                  <w:szCs w:val="18"/>
                </w:rPr>
                <m:t>incumplimiento</m:t>
              </m:r>
            </m:e>
            <m:sub>
              <m:r>
                <m:rPr>
                  <m:sty m:val="bi"/>
                </m:rPr>
                <w:rPr>
                  <w:rFonts w:ascii="Cambria Math" w:hAnsi="Cambria Math" w:cs="Arial"/>
                  <w:sz w:val="18"/>
                  <w:szCs w:val="18"/>
                </w:rPr>
                <m:t>i</m:t>
              </m:r>
            </m:sub>
          </m:sSub>
        </m:oMath>
      </m:oMathPara>
    </w:p>
    <w:p w14:paraId="1AAB1EC3" w14:textId="6D16128A" w:rsidR="005729DD" w:rsidRPr="009E6CF2" w:rsidRDefault="005729DD"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Donde</w:t>
      </w:r>
      <w:r w:rsidR="00342EDC">
        <w:rPr>
          <w:rFonts w:ascii="Arial" w:hAnsi="Arial" w:cs="Arial"/>
          <w:b/>
          <w:bCs/>
          <w:sz w:val="18"/>
          <w:szCs w:val="18"/>
        </w:rPr>
        <w:t>:</w:t>
      </w:r>
      <w:r w:rsidRPr="009E6CF2">
        <w:rPr>
          <w:rFonts w:ascii="Arial" w:hAnsi="Arial" w:cs="Arial"/>
          <w:b/>
          <w:bCs/>
          <w:sz w:val="18"/>
          <w:szCs w:val="18"/>
        </w:rPr>
        <w:t xml:space="preserve"> </w:t>
      </w:r>
    </w:p>
    <w:p w14:paraId="76D59823" w14:textId="55BBE054" w:rsidR="0004392B" w:rsidRPr="009E6CF2" w:rsidRDefault="00C11031" w:rsidP="009E6CF2">
      <w:pPr>
        <w:pBdr>
          <w:left w:val="single" w:sz="4" w:space="1" w:color="auto"/>
        </w:pBdr>
        <w:jc w:val="both"/>
        <w:rPr>
          <w:rFonts w:ascii="Arial" w:eastAsiaTheme="minorEastAsia"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PDI</m:t>
            </m:r>
          </m:e>
          <m:sub>
            <m:r>
              <m:rPr>
                <m:sty m:val="bi"/>
              </m:rPr>
              <w:rPr>
                <w:rFonts w:ascii="Cambria Math" w:hAnsi="Cambria Math" w:cs="Arial"/>
                <w:sz w:val="18"/>
                <w:szCs w:val="18"/>
              </w:rPr>
              <m:t>i</m:t>
            </m:r>
          </m:sub>
        </m:sSub>
      </m:oMath>
      <w:r w:rsidR="0004392B" w:rsidRPr="009E6CF2">
        <w:rPr>
          <w:rFonts w:ascii="Arial" w:eastAsiaTheme="minorEastAsia" w:hAnsi="Arial" w:cs="Arial"/>
          <w:b/>
          <w:bCs/>
          <w:sz w:val="18"/>
          <w:szCs w:val="18"/>
        </w:rPr>
        <w:t>:</w:t>
      </w:r>
      <w:r w:rsidR="00AD4C39" w:rsidRPr="009E6CF2">
        <w:rPr>
          <w:rFonts w:ascii="Arial" w:eastAsiaTheme="minorEastAsia" w:hAnsi="Arial" w:cs="Arial"/>
          <w:b/>
          <w:bCs/>
          <w:sz w:val="18"/>
          <w:szCs w:val="18"/>
        </w:rPr>
        <w:t xml:space="preserve"> </w:t>
      </w:r>
      <w:r w:rsidR="005174FF" w:rsidRPr="009E6CF2">
        <w:rPr>
          <w:rFonts w:ascii="Arial" w:eastAsiaTheme="minorEastAsia" w:hAnsi="Arial" w:cs="Arial"/>
          <w:b/>
          <w:bCs/>
          <w:sz w:val="18"/>
          <w:szCs w:val="18"/>
        </w:rPr>
        <w:t>p</w:t>
      </w:r>
      <w:r w:rsidR="00AD4C39" w:rsidRPr="009E6CF2">
        <w:rPr>
          <w:rFonts w:ascii="Arial" w:eastAsiaTheme="minorEastAsia" w:hAnsi="Arial" w:cs="Arial"/>
          <w:b/>
          <w:bCs/>
          <w:sz w:val="18"/>
          <w:szCs w:val="18"/>
        </w:rPr>
        <w:t>érdida dado el incumpli</w:t>
      </w:r>
      <w:r w:rsidR="006E0DBF" w:rsidRPr="009E6CF2">
        <w:rPr>
          <w:rFonts w:ascii="Arial" w:eastAsiaTheme="minorEastAsia" w:hAnsi="Arial" w:cs="Arial"/>
          <w:b/>
          <w:bCs/>
          <w:sz w:val="18"/>
          <w:szCs w:val="18"/>
        </w:rPr>
        <w:t>mi</w:t>
      </w:r>
      <w:r w:rsidR="00AD4C39" w:rsidRPr="009E6CF2">
        <w:rPr>
          <w:rFonts w:ascii="Arial" w:eastAsiaTheme="minorEastAsia" w:hAnsi="Arial" w:cs="Arial"/>
          <w:b/>
          <w:bCs/>
          <w:sz w:val="18"/>
          <w:szCs w:val="18"/>
        </w:rPr>
        <w:t>ento</w:t>
      </w:r>
      <w:r w:rsidR="005174FF" w:rsidRPr="009E6CF2">
        <w:rPr>
          <w:rFonts w:ascii="Arial" w:eastAsiaTheme="minorEastAsia" w:hAnsi="Arial" w:cs="Arial"/>
          <w:b/>
          <w:bCs/>
          <w:sz w:val="18"/>
          <w:szCs w:val="18"/>
        </w:rPr>
        <w:t xml:space="preserve"> para la operación </w:t>
      </w:r>
      <m:oMath>
        <m:r>
          <m:rPr>
            <m:sty m:val="bi"/>
          </m:rPr>
          <w:rPr>
            <w:rFonts w:ascii="Cambria Math" w:eastAsiaTheme="minorEastAsia" w:hAnsi="Cambria Math" w:cs="Arial"/>
            <w:sz w:val="18"/>
            <w:szCs w:val="18"/>
          </w:rPr>
          <m:t>i</m:t>
        </m:r>
      </m:oMath>
    </w:p>
    <w:p w14:paraId="79F359B6" w14:textId="41650061" w:rsidR="0005505C" w:rsidRPr="009E6CF2" w:rsidRDefault="009E6CF2" w:rsidP="009E6CF2">
      <w:pPr>
        <w:pBdr>
          <w:left w:val="single" w:sz="4" w:space="1" w:color="auto"/>
        </w:pBdr>
        <w:jc w:val="both"/>
        <w:rPr>
          <w:rFonts w:ascii="Arial" w:hAnsi="Arial" w:cs="Arial"/>
          <w:b/>
          <w:bCs/>
          <w:sz w:val="18"/>
          <w:szCs w:val="18"/>
        </w:rPr>
      </w:pPr>
      <m:oMath>
        <m:r>
          <m:rPr>
            <m:sty m:val="bi"/>
          </m:rPr>
          <w:rPr>
            <w:rFonts w:ascii="Cambria Math" w:hAnsi="Cambria Math" w:cs="Arial"/>
            <w:sz w:val="18"/>
            <w:szCs w:val="18"/>
          </w:rPr>
          <m:t>i</m:t>
        </m:r>
      </m:oMath>
      <w:r w:rsidR="0005505C" w:rsidRPr="009E6CF2">
        <w:rPr>
          <w:rFonts w:ascii="Arial" w:hAnsi="Arial" w:cs="Arial"/>
          <w:b/>
          <w:bCs/>
          <w:sz w:val="18"/>
          <w:szCs w:val="18"/>
        </w:rPr>
        <w:t xml:space="preserve">: operación expuesta a RiC con un mismo </w:t>
      </w:r>
      <w:r w:rsidR="00342EDC">
        <w:rPr>
          <w:rFonts w:ascii="Arial" w:hAnsi="Arial" w:cs="Arial"/>
          <w:b/>
          <w:bCs/>
          <w:sz w:val="18"/>
          <w:szCs w:val="18"/>
        </w:rPr>
        <w:t>tercero</w:t>
      </w:r>
      <w:r w:rsidR="0005505C" w:rsidRPr="009E6CF2">
        <w:rPr>
          <w:rFonts w:ascii="Arial" w:hAnsi="Arial" w:cs="Arial"/>
          <w:b/>
          <w:bCs/>
          <w:sz w:val="18"/>
          <w:szCs w:val="18"/>
        </w:rPr>
        <w:t xml:space="preserve"> o contraparte.</w:t>
      </w:r>
    </w:p>
    <w:p w14:paraId="73B1F77B" w14:textId="103B305E" w:rsidR="005174FF" w:rsidRPr="009E6CF2" w:rsidRDefault="00C11031" w:rsidP="009E6CF2">
      <w:pPr>
        <w:pBdr>
          <w:left w:val="single" w:sz="4" w:space="1" w:color="auto"/>
        </w:pBdr>
        <w:jc w:val="both"/>
        <w:rPr>
          <w:rFonts w:ascii="Arial" w:eastAsiaTheme="minorEastAsia"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EAD</m:t>
            </m:r>
          </m:e>
          <m:sub>
            <m:r>
              <m:rPr>
                <m:sty m:val="bi"/>
              </m:rPr>
              <w:rPr>
                <w:rFonts w:ascii="Cambria Math" w:hAnsi="Cambria Math" w:cs="Arial"/>
                <w:sz w:val="18"/>
                <w:szCs w:val="18"/>
              </w:rPr>
              <m:t>i</m:t>
            </m:r>
          </m:sub>
        </m:sSub>
      </m:oMath>
      <w:r w:rsidR="005174FF" w:rsidRPr="009E6CF2">
        <w:rPr>
          <w:rFonts w:ascii="Arial" w:eastAsiaTheme="minorEastAsia" w:hAnsi="Arial" w:cs="Arial"/>
          <w:b/>
          <w:bCs/>
          <w:sz w:val="18"/>
          <w:szCs w:val="18"/>
        </w:rPr>
        <w:t>: corresponde a</w:t>
      </w:r>
      <w:r w:rsidR="0005505C" w:rsidRPr="009E6CF2">
        <w:rPr>
          <w:rFonts w:ascii="Arial" w:eastAsiaTheme="minorEastAsia" w:hAnsi="Arial" w:cs="Arial"/>
          <w:b/>
          <w:bCs/>
          <w:sz w:val="18"/>
          <w:szCs w:val="18"/>
        </w:rPr>
        <w:t>l valor de la exposición ante incumplimiento calculado de acuerdo con el numeral 3 del presente Anexo.</w:t>
      </w:r>
    </w:p>
    <w:p w14:paraId="4207193A" w14:textId="544C2619" w:rsidR="00F70495" w:rsidRPr="009E6CF2" w:rsidRDefault="00C11031" w:rsidP="44D50F15">
      <w:pPr>
        <w:pBdr>
          <w:left w:val="single" w:sz="4" w:space="1" w:color="auto"/>
        </w:pBdr>
        <w:jc w:val="both"/>
        <w:rPr>
          <w:rFonts w:ascii="Arial" w:hAnsi="Arial" w:cs="Arial"/>
          <w:b/>
          <w:bCs/>
          <w:sz w:val="18"/>
          <w:szCs w:val="18"/>
        </w:rPr>
      </w:pPr>
      <m:oMath>
        <m:sSub>
          <m:sSubPr>
            <m:ctrlPr>
              <w:rPr>
                <w:rFonts w:ascii="Cambria Math" w:hAnsi="Cambria Math" w:cs="Arial"/>
                <w:b/>
                <w:bCs/>
                <w:i/>
                <w:sz w:val="18"/>
                <w:szCs w:val="18"/>
              </w:rPr>
            </m:ctrlPr>
          </m:sSubPr>
          <m:e>
            <m:r>
              <m:rPr>
                <m:sty m:val="bi"/>
              </m:rPr>
              <w:rPr>
                <w:rFonts w:ascii="Cambria Math" w:hAnsi="Cambria Math" w:cs="Arial"/>
                <w:sz w:val="18"/>
                <w:szCs w:val="18"/>
              </w:rPr>
              <m:t>Probabilidad</m:t>
            </m:r>
            <m:r>
              <m:rPr>
                <m:sty m:val="bi"/>
              </m:rPr>
              <w:rPr>
                <w:rFonts w:ascii="Cambria Math" w:hAnsi="Cambria Math" w:cs="Arial"/>
                <w:sz w:val="18"/>
                <w:szCs w:val="18"/>
              </w:rPr>
              <m:t xml:space="preserve"> </m:t>
            </m:r>
            <m:r>
              <m:rPr>
                <m:sty m:val="bi"/>
              </m:rPr>
              <w:rPr>
                <w:rFonts w:ascii="Cambria Math" w:hAnsi="Cambria Math" w:cs="Arial"/>
                <w:sz w:val="18"/>
                <w:szCs w:val="18"/>
              </w:rPr>
              <m:t>de</m:t>
            </m:r>
            <m:r>
              <m:rPr>
                <m:sty m:val="bi"/>
              </m:rPr>
              <w:rPr>
                <w:rFonts w:ascii="Cambria Math" w:hAnsi="Cambria Math" w:cs="Arial"/>
                <w:sz w:val="18"/>
                <w:szCs w:val="18"/>
              </w:rPr>
              <m:t xml:space="preserve"> </m:t>
            </m:r>
            <m:r>
              <m:rPr>
                <m:sty m:val="bi"/>
              </m:rPr>
              <w:rPr>
                <w:rFonts w:ascii="Cambria Math" w:hAnsi="Cambria Math" w:cs="Arial"/>
                <w:sz w:val="18"/>
                <w:szCs w:val="18"/>
              </w:rPr>
              <m:t>incumplimiento</m:t>
            </m:r>
          </m:e>
          <m:sub>
            <m:r>
              <m:rPr>
                <m:sty m:val="bi"/>
              </m:rPr>
              <w:rPr>
                <w:rFonts w:ascii="Cambria Math" w:hAnsi="Cambria Math" w:cs="Arial"/>
                <w:sz w:val="18"/>
                <w:szCs w:val="18"/>
              </w:rPr>
              <m:t>i</m:t>
            </m:r>
          </m:sub>
        </m:sSub>
      </m:oMath>
      <w:r w:rsidR="003D779E" w:rsidRPr="44D50F15">
        <w:rPr>
          <w:rFonts w:ascii="Arial" w:eastAsiaTheme="minorEastAsia" w:hAnsi="Arial" w:cs="Arial"/>
          <w:b/>
          <w:bCs/>
          <w:sz w:val="18"/>
          <w:szCs w:val="18"/>
        </w:rPr>
        <w:t>:</w:t>
      </w:r>
      <w:r w:rsidR="00B6745F" w:rsidRPr="009E6CF2">
        <w:rPr>
          <w:rFonts w:ascii="Arial" w:hAnsi="Arial" w:cs="Arial"/>
          <w:b/>
          <w:bCs/>
          <w:sz w:val="18"/>
          <w:szCs w:val="18"/>
        </w:rPr>
        <w:t xml:space="preserve"> c</w:t>
      </w:r>
      <w:r w:rsidR="00742FC0" w:rsidRPr="009E6CF2">
        <w:rPr>
          <w:rFonts w:ascii="Arial" w:hAnsi="Arial" w:cs="Arial"/>
          <w:b/>
          <w:bCs/>
          <w:sz w:val="18"/>
          <w:szCs w:val="18"/>
        </w:rPr>
        <w:t>orresponde</w:t>
      </w:r>
      <w:r w:rsidR="00B6745F" w:rsidRPr="009E6CF2">
        <w:rPr>
          <w:rFonts w:ascii="Arial" w:hAnsi="Arial" w:cs="Arial"/>
          <w:b/>
          <w:bCs/>
          <w:sz w:val="18"/>
          <w:szCs w:val="18"/>
        </w:rPr>
        <w:t xml:space="preserve"> a la probabilidad</w:t>
      </w:r>
      <w:r w:rsidR="00742FC0" w:rsidRPr="009E6CF2">
        <w:rPr>
          <w:rFonts w:ascii="Arial" w:hAnsi="Arial" w:cs="Arial"/>
          <w:b/>
          <w:bCs/>
          <w:sz w:val="18"/>
          <w:szCs w:val="18"/>
        </w:rPr>
        <w:t xml:space="preserve"> calculada de acuerdo con los modelos internos</w:t>
      </w:r>
      <w:r w:rsidR="00CD41B2" w:rsidRPr="009E6CF2">
        <w:rPr>
          <w:rFonts w:ascii="Arial" w:hAnsi="Arial" w:cs="Arial"/>
          <w:b/>
          <w:bCs/>
          <w:sz w:val="18"/>
          <w:szCs w:val="18"/>
        </w:rPr>
        <w:t xml:space="preserve"> </w:t>
      </w:r>
      <w:r w:rsidR="00022A5E" w:rsidRPr="009E6CF2">
        <w:rPr>
          <w:rFonts w:ascii="Arial" w:hAnsi="Arial" w:cs="Arial"/>
          <w:b/>
          <w:bCs/>
          <w:sz w:val="18"/>
          <w:szCs w:val="18"/>
        </w:rPr>
        <w:t>definid</w:t>
      </w:r>
      <w:r w:rsidR="00C13260">
        <w:rPr>
          <w:rFonts w:ascii="Arial" w:hAnsi="Arial" w:cs="Arial"/>
          <w:b/>
          <w:bCs/>
          <w:sz w:val="18"/>
          <w:szCs w:val="18"/>
        </w:rPr>
        <w:t>o</w:t>
      </w:r>
      <w:r w:rsidR="00022A5E" w:rsidRPr="009E6CF2">
        <w:rPr>
          <w:rFonts w:ascii="Arial" w:hAnsi="Arial" w:cs="Arial"/>
          <w:b/>
          <w:bCs/>
          <w:sz w:val="18"/>
          <w:szCs w:val="18"/>
        </w:rPr>
        <w:t>s</w:t>
      </w:r>
      <w:r w:rsidR="00CD41B2" w:rsidRPr="009E6CF2">
        <w:rPr>
          <w:rFonts w:ascii="Arial" w:hAnsi="Arial" w:cs="Arial"/>
          <w:b/>
          <w:bCs/>
          <w:sz w:val="18"/>
          <w:szCs w:val="18"/>
        </w:rPr>
        <w:t xml:space="preserve"> por</w:t>
      </w:r>
      <w:r w:rsidR="00742FC0" w:rsidRPr="009E6CF2">
        <w:rPr>
          <w:rFonts w:ascii="Arial" w:hAnsi="Arial" w:cs="Arial"/>
          <w:b/>
          <w:bCs/>
          <w:sz w:val="18"/>
          <w:szCs w:val="18"/>
        </w:rPr>
        <w:t xml:space="preserve"> las entidades o</w:t>
      </w:r>
      <w:r w:rsidR="00C13260">
        <w:rPr>
          <w:rFonts w:ascii="Arial" w:hAnsi="Arial" w:cs="Arial"/>
          <w:b/>
          <w:bCs/>
          <w:sz w:val="18"/>
          <w:szCs w:val="18"/>
        </w:rPr>
        <w:t xml:space="preserve"> metodologías</w:t>
      </w:r>
      <w:r w:rsidR="00742FC0" w:rsidRPr="009E6CF2">
        <w:rPr>
          <w:rFonts w:ascii="Arial" w:hAnsi="Arial" w:cs="Arial"/>
          <w:b/>
          <w:bCs/>
          <w:sz w:val="18"/>
          <w:szCs w:val="18"/>
        </w:rPr>
        <w:t xml:space="preserve"> suministrada</w:t>
      </w:r>
      <w:r w:rsidR="00617517">
        <w:rPr>
          <w:rFonts w:ascii="Arial" w:hAnsi="Arial" w:cs="Arial"/>
          <w:b/>
          <w:bCs/>
          <w:sz w:val="18"/>
          <w:szCs w:val="18"/>
        </w:rPr>
        <w:t>s</w:t>
      </w:r>
      <w:r w:rsidR="00742FC0" w:rsidRPr="009E6CF2">
        <w:rPr>
          <w:rFonts w:ascii="Arial" w:hAnsi="Arial" w:cs="Arial"/>
          <w:b/>
          <w:bCs/>
          <w:sz w:val="18"/>
          <w:szCs w:val="18"/>
        </w:rPr>
        <w:t xml:space="preserve"> por </w:t>
      </w:r>
      <w:r w:rsidR="00AA1DD2" w:rsidRPr="009E6CF2">
        <w:rPr>
          <w:rFonts w:ascii="Arial" w:hAnsi="Arial" w:cs="Arial"/>
          <w:b/>
          <w:bCs/>
          <w:sz w:val="18"/>
          <w:szCs w:val="18"/>
        </w:rPr>
        <w:t xml:space="preserve">el </w:t>
      </w:r>
      <w:r w:rsidR="00742FC0" w:rsidRPr="009E6CF2">
        <w:rPr>
          <w:rFonts w:ascii="Arial" w:hAnsi="Arial" w:cs="Arial"/>
          <w:b/>
          <w:bCs/>
          <w:sz w:val="18"/>
          <w:szCs w:val="18"/>
        </w:rPr>
        <w:t xml:space="preserve">proveedor de precios </w:t>
      </w:r>
      <w:r w:rsidR="00AA1DD2" w:rsidRPr="009E6CF2">
        <w:rPr>
          <w:rFonts w:ascii="Arial" w:hAnsi="Arial" w:cs="Arial"/>
          <w:b/>
          <w:bCs/>
          <w:sz w:val="18"/>
          <w:szCs w:val="18"/>
        </w:rPr>
        <w:t xml:space="preserve">oficial </w:t>
      </w:r>
      <w:r w:rsidR="00742FC0" w:rsidRPr="009E6CF2">
        <w:rPr>
          <w:rFonts w:ascii="Arial" w:hAnsi="Arial" w:cs="Arial"/>
          <w:b/>
          <w:bCs/>
          <w:sz w:val="18"/>
          <w:szCs w:val="18"/>
        </w:rPr>
        <w:t xml:space="preserve">autorizado por la SFC. </w:t>
      </w:r>
      <w:r w:rsidR="0010560E" w:rsidRPr="009E6CF2">
        <w:rPr>
          <w:rFonts w:ascii="Arial" w:hAnsi="Arial" w:cs="Arial"/>
          <w:b/>
          <w:bCs/>
          <w:sz w:val="18"/>
          <w:szCs w:val="18"/>
        </w:rPr>
        <w:t xml:space="preserve">Los modelos internos de las entidades deben contemplar la actualización periódica de las probabilidades ante eventos de incumplimiento </w:t>
      </w:r>
      <w:r w:rsidR="005F4A8F" w:rsidRPr="009E6CF2">
        <w:rPr>
          <w:rFonts w:ascii="Arial" w:hAnsi="Arial" w:cs="Arial"/>
          <w:b/>
          <w:bCs/>
          <w:sz w:val="18"/>
          <w:szCs w:val="18"/>
        </w:rPr>
        <w:t xml:space="preserve">de un </w:t>
      </w:r>
      <w:r w:rsidR="00725AE4">
        <w:rPr>
          <w:rFonts w:ascii="Arial" w:hAnsi="Arial" w:cs="Arial"/>
          <w:b/>
          <w:bCs/>
          <w:sz w:val="18"/>
          <w:szCs w:val="18"/>
        </w:rPr>
        <w:t>tercero</w:t>
      </w:r>
      <w:r w:rsidR="005F4A8F" w:rsidRPr="009E6CF2">
        <w:rPr>
          <w:rFonts w:ascii="Arial" w:hAnsi="Arial" w:cs="Arial"/>
          <w:b/>
          <w:bCs/>
          <w:sz w:val="18"/>
          <w:szCs w:val="18"/>
        </w:rPr>
        <w:t xml:space="preserve"> o </w:t>
      </w:r>
      <w:r w:rsidR="00B55618" w:rsidRPr="009E6CF2">
        <w:rPr>
          <w:rFonts w:ascii="Arial" w:hAnsi="Arial" w:cs="Arial"/>
          <w:b/>
          <w:bCs/>
          <w:sz w:val="18"/>
          <w:szCs w:val="18"/>
        </w:rPr>
        <w:t>contraparte</w:t>
      </w:r>
      <w:r w:rsidR="00036FE1" w:rsidRPr="009E6CF2">
        <w:rPr>
          <w:rFonts w:ascii="Arial" w:hAnsi="Arial" w:cs="Arial"/>
          <w:b/>
          <w:bCs/>
          <w:sz w:val="18"/>
          <w:szCs w:val="18"/>
        </w:rPr>
        <w:t>, así com</w:t>
      </w:r>
      <w:r w:rsidR="009D75F9" w:rsidRPr="009E6CF2">
        <w:rPr>
          <w:rFonts w:ascii="Arial" w:hAnsi="Arial" w:cs="Arial"/>
          <w:b/>
          <w:bCs/>
          <w:sz w:val="18"/>
          <w:szCs w:val="18"/>
        </w:rPr>
        <w:t>o</w:t>
      </w:r>
      <w:r w:rsidR="00036FE1" w:rsidRPr="009E6CF2">
        <w:rPr>
          <w:rFonts w:ascii="Arial" w:hAnsi="Arial" w:cs="Arial"/>
          <w:b/>
          <w:bCs/>
          <w:sz w:val="18"/>
          <w:szCs w:val="18"/>
        </w:rPr>
        <w:t xml:space="preserve"> por cambios en información de mercado que sean relevantes</w:t>
      </w:r>
      <w:r w:rsidR="00B55618" w:rsidRPr="009E6CF2">
        <w:rPr>
          <w:rFonts w:ascii="Arial" w:hAnsi="Arial" w:cs="Arial"/>
          <w:b/>
          <w:bCs/>
          <w:sz w:val="18"/>
          <w:szCs w:val="18"/>
        </w:rPr>
        <w:t xml:space="preserve">. </w:t>
      </w:r>
      <w:r w:rsidR="00742FC0" w:rsidRPr="009E6CF2">
        <w:rPr>
          <w:rFonts w:ascii="Arial" w:hAnsi="Arial" w:cs="Arial"/>
          <w:b/>
          <w:bCs/>
          <w:sz w:val="18"/>
          <w:szCs w:val="18"/>
        </w:rPr>
        <w:t xml:space="preserve">En todo caso, las entidades podrán </w:t>
      </w:r>
      <w:r w:rsidR="36E41130" w:rsidRPr="009E6CF2">
        <w:rPr>
          <w:rFonts w:ascii="Arial" w:hAnsi="Arial" w:cs="Arial"/>
          <w:b/>
          <w:bCs/>
          <w:sz w:val="18"/>
          <w:szCs w:val="18"/>
        </w:rPr>
        <w:t xml:space="preserve">utilizar las metodologías </w:t>
      </w:r>
      <w:r w:rsidR="5AFD6374" w:rsidRPr="009E6CF2">
        <w:rPr>
          <w:rFonts w:ascii="Arial" w:hAnsi="Arial" w:cs="Arial"/>
          <w:b/>
          <w:bCs/>
          <w:sz w:val="18"/>
          <w:szCs w:val="18"/>
        </w:rPr>
        <w:t xml:space="preserve">desarrolladas </w:t>
      </w:r>
      <w:r w:rsidR="3BD70C93" w:rsidRPr="009E6CF2">
        <w:rPr>
          <w:rFonts w:ascii="Arial" w:hAnsi="Arial" w:cs="Arial"/>
          <w:b/>
          <w:bCs/>
          <w:sz w:val="18"/>
          <w:szCs w:val="18"/>
        </w:rPr>
        <w:t>por</w:t>
      </w:r>
      <w:r w:rsidR="6189CA2F" w:rsidRPr="009E6CF2">
        <w:rPr>
          <w:rFonts w:ascii="Arial" w:hAnsi="Arial" w:cs="Arial"/>
          <w:b/>
          <w:bCs/>
          <w:sz w:val="18"/>
          <w:szCs w:val="18"/>
        </w:rPr>
        <w:t xml:space="preserve"> los </w:t>
      </w:r>
      <w:r w:rsidR="00742FC0" w:rsidRPr="009E6CF2">
        <w:rPr>
          <w:rFonts w:ascii="Arial" w:hAnsi="Arial" w:cs="Arial"/>
          <w:b/>
          <w:bCs/>
          <w:sz w:val="18"/>
          <w:szCs w:val="18"/>
        </w:rPr>
        <w:t xml:space="preserve">proveedores </w:t>
      </w:r>
      <w:r w:rsidR="68E6AA14" w:rsidRPr="009E6CF2">
        <w:rPr>
          <w:rFonts w:ascii="Arial" w:hAnsi="Arial" w:cs="Arial"/>
          <w:b/>
          <w:bCs/>
          <w:sz w:val="18"/>
          <w:szCs w:val="18"/>
        </w:rPr>
        <w:t xml:space="preserve">de precios para </w:t>
      </w:r>
      <w:r w:rsidR="00742FC0" w:rsidRPr="009E6CF2">
        <w:rPr>
          <w:rFonts w:ascii="Arial" w:hAnsi="Arial" w:cs="Arial"/>
          <w:b/>
          <w:bCs/>
          <w:sz w:val="18"/>
          <w:szCs w:val="18"/>
        </w:rPr>
        <w:t xml:space="preserve">el cálculo final de la PDI. </w:t>
      </w:r>
    </w:p>
    <w:p w14:paraId="27D699F5" w14:textId="06C4C9BE" w:rsidR="00F70495" w:rsidRPr="009E6CF2" w:rsidRDefault="00F70495" w:rsidP="009E6CF2">
      <w:pPr>
        <w:pStyle w:val="Prrafodelista"/>
        <w:numPr>
          <w:ilvl w:val="0"/>
          <w:numId w:val="2"/>
        </w:numPr>
        <w:pBdr>
          <w:left w:val="single" w:sz="4" w:space="1" w:color="auto"/>
        </w:pBdr>
        <w:ind w:left="567" w:hanging="567"/>
        <w:jc w:val="both"/>
        <w:rPr>
          <w:rFonts w:ascii="Arial" w:hAnsi="Arial" w:cs="Arial"/>
          <w:b/>
          <w:bCs/>
          <w:sz w:val="18"/>
          <w:szCs w:val="18"/>
        </w:rPr>
      </w:pPr>
      <w:r w:rsidRPr="009E6CF2">
        <w:rPr>
          <w:rFonts w:ascii="Arial" w:hAnsi="Arial" w:cs="Arial"/>
          <w:b/>
          <w:bCs/>
          <w:sz w:val="18"/>
          <w:szCs w:val="18"/>
        </w:rPr>
        <w:t>CVA y DVA</w:t>
      </w:r>
    </w:p>
    <w:p w14:paraId="6EDD08D8" w14:textId="1B3CC400" w:rsidR="00F70495" w:rsidRPr="009E6CF2" w:rsidRDefault="00F70495" w:rsidP="009E6CF2">
      <w:pPr>
        <w:pBdr>
          <w:left w:val="single" w:sz="4" w:space="1" w:color="auto"/>
        </w:pBdr>
        <w:jc w:val="both"/>
        <w:rPr>
          <w:rFonts w:ascii="Arial" w:hAnsi="Arial" w:cs="Arial"/>
          <w:b/>
          <w:bCs/>
          <w:sz w:val="18"/>
          <w:szCs w:val="18"/>
        </w:rPr>
      </w:pPr>
      <w:r w:rsidRPr="009E6CF2">
        <w:rPr>
          <w:rFonts w:ascii="Arial" w:hAnsi="Arial" w:cs="Arial"/>
          <w:b/>
          <w:bCs/>
          <w:sz w:val="18"/>
          <w:szCs w:val="18"/>
        </w:rPr>
        <w:t xml:space="preserve">El CVA y el DVA son </w:t>
      </w:r>
      <w:r w:rsidR="00725AE4">
        <w:rPr>
          <w:rFonts w:ascii="Arial" w:hAnsi="Arial" w:cs="Arial"/>
          <w:b/>
          <w:bCs/>
          <w:sz w:val="18"/>
          <w:szCs w:val="18"/>
        </w:rPr>
        <w:t>los</w:t>
      </w:r>
      <w:r w:rsidRPr="009E6CF2">
        <w:rPr>
          <w:rFonts w:ascii="Arial" w:hAnsi="Arial" w:cs="Arial"/>
          <w:b/>
          <w:bCs/>
          <w:sz w:val="18"/>
          <w:szCs w:val="18"/>
        </w:rPr>
        <w:t xml:space="preserve"> ajuste</w:t>
      </w:r>
      <w:r w:rsidR="00725AE4">
        <w:rPr>
          <w:rFonts w:ascii="Arial" w:hAnsi="Arial" w:cs="Arial"/>
          <w:b/>
          <w:bCs/>
          <w:sz w:val="18"/>
          <w:szCs w:val="18"/>
        </w:rPr>
        <w:t>s</w:t>
      </w:r>
      <w:r w:rsidRPr="009E6CF2">
        <w:rPr>
          <w:rFonts w:ascii="Arial" w:hAnsi="Arial" w:cs="Arial"/>
          <w:b/>
          <w:bCs/>
          <w:sz w:val="18"/>
          <w:szCs w:val="18"/>
        </w:rPr>
        <w:t xml:space="preserve"> de valoración en una exposición generado</w:t>
      </w:r>
      <w:r w:rsidR="00725AE4">
        <w:rPr>
          <w:rFonts w:ascii="Arial" w:hAnsi="Arial" w:cs="Arial"/>
          <w:b/>
          <w:bCs/>
          <w:sz w:val="18"/>
          <w:szCs w:val="18"/>
        </w:rPr>
        <w:t>s</w:t>
      </w:r>
      <w:r w:rsidRPr="009E6CF2">
        <w:rPr>
          <w:rFonts w:ascii="Arial" w:hAnsi="Arial" w:cs="Arial"/>
          <w:b/>
          <w:bCs/>
          <w:sz w:val="18"/>
          <w:szCs w:val="18"/>
        </w:rPr>
        <w:t xml:space="preserve"> por cambios en el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w:t>
      </w:r>
      <w:r w:rsidR="00BA40D2">
        <w:rPr>
          <w:rFonts w:ascii="Arial" w:hAnsi="Arial" w:cs="Arial"/>
          <w:b/>
          <w:bCs/>
          <w:sz w:val="18"/>
          <w:szCs w:val="18"/>
        </w:rPr>
        <w:t>de la contraparte de</w:t>
      </w:r>
      <w:r w:rsidRPr="009E6CF2">
        <w:rPr>
          <w:rFonts w:ascii="Arial" w:hAnsi="Arial" w:cs="Arial"/>
          <w:b/>
          <w:bCs/>
          <w:sz w:val="18"/>
          <w:szCs w:val="18"/>
        </w:rPr>
        <w:t xml:space="preserve"> una operación expuesta a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o en el </w:t>
      </w:r>
      <w:proofErr w:type="spellStart"/>
      <w:r w:rsidRPr="009E6CF2">
        <w:rPr>
          <w:rFonts w:ascii="Arial" w:hAnsi="Arial" w:cs="Arial"/>
          <w:b/>
          <w:bCs/>
          <w:sz w:val="18"/>
          <w:szCs w:val="18"/>
        </w:rPr>
        <w:t>RiC</w:t>
      </w:r>
      <w:proofErr w:type="spellEnd"/>
      <w:r w:rsidRPr="009E6CF2">
        <w:rPr>
          <w:rFonts w:ascii="Arial" w:hAnsi="Arial" w:cs="Arial"/>
          <w:b/>
          <w:bCs/>
          <w:sz w:val="18"/>
          <w:szCs w:val="18"/>
        </w:rPr>
        <w:t xml:space="preserve"> propio, </w:t>
      </w:r>
      <w:r w:rsidR="008C4CE2" w:rsidRPr="009E6CF2">
        <w:rPr>
          <w:rFonts w:ascii="Arial" w:hAnsi="Arial" w:cs="Arial"/>
          <w:b/>
          <w:bCs/>
          <w:sz w:val="18"/>
          <w:szCs w:val="18"/>
        </w:rPr>
        <w:t>respectivamente</w:t>
      </w:r>
      <w:r w:rsidRPr="009E6CF2">
        <w:rPr>
          <w:rFonts w:ascii="Arial" w:hAnsi="Arial" w:cs="Arial"/>
          <w:b/>
          <w:bCs/>
          <w:sz w:val="18"/>
          <w:szCs w:val="18"/>
        </w:rPr>
        <w:t>.</w:t>
      </w:r>
    </w:p>
    <w:p w14:paraId="661DA7DB" w14:textId="4C42E130" w:rsidR="00F70495" w:rsidRPr="009E6CF2" w:rsidRDefault="00F70495" w:rsidP="44D50F15">
      <w:pPr>
        <w:pBdr>
          <w:left w:val="single" w:sz="4" w:space="1" w:color="auto"/>
        </w:pBdr>
        <w:jc w:val="both"/>
        <w:rPr>
          <w:rFonts w:ascii="Arial" w:hAnsi="Arial" w:cs="Arial"/>
          <w:b/>
          <w:bCs/>
          <w:sz w:val="18"/>
          <w:szCs w:val="18"/>
        </w:rPr>
      </w:pPr>
      <w:r w:rsidRPr="44D50F15">
        <w:rPr>
          <w:rFonts w:ascii="Arial" w:hAnsi="Arial" w:cs="Arial"/>
          <w:b/>
          <w:bCs/>
          <w:sz w:val="18"/>
          <w:szCs w:val="18"/>
        </w:rPr>
        <w:t>Las entidades deben adoptar la metodología para evaluar los ajustes por CVA y DVA que sea diseñada por su proveedor de precios</w:t>
      </w:r>
      <w:r w:rsidR="008A18BC" w:rsidRPr="44D50F15">
        <w:rPr>
          <w:rFonts w:ascii="Arial" w:hAnsi="Arial" w:cs="Arial"/>
          <w:b/>
          <w:bCs/>
          <w:sz w:val="18"/>
          <w:szCs w:val="18"/>
        </w:rPr>
        <w:t xml:space="preserve"> oficial</w:t>
      </w:r>
      <w:r w:rsidRPr="44D50F15">
        <w:rPr>
          <w:rFonts w:ascii="Arial" w:hAnsi="Arial" w:cs="Arial"/>
          <w:b/>
          <w:bCs/>
          <w:sz w:val="18"/>
          <w:szCs w:val="18"/>
        </w:rPr>
        <w:t>, así como toda la información que el proveedor suministre</w:t>
      </w:r>
      <w:r w:rsidR="6706C7E2" w:rsidRPr="44D50F15">
        <w:rPr>
          <w:rFonts w:ascii="Arial" w:hAnsi="Arial" w:cs="Arial"/>
          <w:b/>
          <w:bCs/>
          <w:sz w:val="18"/>
          <w:szCs w:val="18"/>
        </w:rPr>
        <w:t xml:space="preserve"> para estos efectos</w:t>
      </w:r>
      <w:r w:rsidRPr="44D50F15">
        <w:rPr>
          <w:rFonts w:ascii="Arial" w:hAnsi="Arial" w:cs="Arial"/>
          <w:b/>
          <w:bCs/>
          <w:sz w:val="18"/>
          <w:szCs w:val="18"/>
        </w:rPr>
        <w:t xml:space="preserve">. Si el respectivo proveedor no cuenta con una metodología, las entidades pueden adoptar un </w:t>
      </w:r>
      <w:r w:rsidR="00601F33">
        <w:rPr>
          <w:rFonts w:ascii="Arial" w:hAnsi="Arial" w:cs="Arial"/>
          <w:b/>
          <w:bCs/>
          <w:sz w:val="18"/>
          <w:szCs w:val="18"/>
        </w:rPr>
        <w:t xml:space="preserve">modelo interno </w:t>
      </w:r>
      <w:r w:rsidRPr="44D50F15">
        <w:rPr>
          <w:rFonts w:ascii="Arial" w:hAnsi="Arial" w:cs="Arial"/>
          <w:b/>
          <w:bCs/>
          <w:sz w:val="18"/>
          <w:szCs w:val="18"/>
        </w:rPr>
        <w:t xml:space="preserve">de acuerdo con parámetros técnicos reconocidos internacionalmente. En todo caso, </w:t>
      </w:r>
      <w:r w:rsidR="000A2FBB">
        <w:rPr>
          <w:rFonts w:ascii="Arial" w:hAnsi="Arial" w:cs="Arial"/>
          <w:b/>
          <w:bCs/>
          <w:sz w:val="18"/>
          <w:szCs w:val="18"/>
        </w:rPr>
        <w:t>los modelos internos establecidos</w:t>
      </w:r>
      <w:r w:rsidRPr="44D50F15">
        <w:rPr>
          <w:rFonts w:ascii="Arial" w:hAnsi="Arial" w:cs="Arial"/>
          <w:b/>
          <w:bCs/>
          <w:sz w:val="18"/>
          <w:szCs w:val="18"/>
        </w:rPr>
        <w:t xml:space="preserve"> por las entidades </w:t>
      </w:r>
      <w:r w:rsidR="002C4CBC" w:rsidRPr="44D50F15">
        <w:rPr>
          <w:rFonts w:ascii="Arial" w:hAnsi="Arial" w:cs="Arial"/>
          <w:b/>
          <w:bCs/>
          <w:sz w:val="18"/>
          <w:szCs w:val="18"/>
        </w:rPr>
        <w:t xml:space="preserve">deben surtir el trámite de no objeción ante la </w:t>
      </w:r>
      <w:r w:rsidRPr="44D50F15">
        <w:rPr>
          <w:rFonts w:ascii="Arial" w:hAnsi="Arial" w:cs="Arial"/>
          <w:b/>
          <w:bCs/>
          <w:sz w:val="18"/>
          <w:szCs w:val="18"/>
        </w:rPr>
        <w:t>SFC.</w:t>
      </w:r>
      <w:r w:rsidR="003172B6">
        <w:rPr>
          <w:rFonts w:ascii="Arial" w:hAnsi="Arial" w:cs="Arial"/>
          <w:b/>
          <w:bCs/>
          <w:sz w:val="18"/>
          <w:szCs w:val="18"/>
        </w:rPr>
        <w:t xml:space="preserve"> </w:t>
      </w:r>
      <w:r w:rsidRPr="44D50F15">
        <w:rPr>
          <w:rFonts w:ascii="Arial" w:hAnsi="Arial" w:cs="Arial"/>
          <w:b/>
          <w:bCs/>
          <w:sz w:val="18"/>
          <w:szCs w:val="18"/>
        </w:rPr>
        <w:t>Las metodologías para la medición del ajuste por CVA y por DVA deben considerar, como mínimo, los siguientes criterios:</w:t>
      </w:r>
    </w:p>
    <w:p w14:paraId="1ABD5A39" w14:textId="77777777" w:rsidR="00F70495" w:rsidRPr="009E6CF2" w:rsidRDefault="00F70495" w:rsidP="009E6CF2">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Plazo para el cumplimiento definitivo de la operación.</w:t>
      </w:r>
    </w:p>
    <w:p w14:paraId="6D3AF221" w14:textId="77777777" w:rsidR="00F70495" w:rsidRPr="009E6CF2" w:rsidRDefault="00F70495" w:rsidP="009E6CF2">
      <w:pPr>
        <w:pStyle w:val="Prrafodelista"/>
        <w:pBdr>
          <w:left w:val="single" w:sz="4" w:space="1" w:color="auto"/>
        </w:pBdr>
        <w:ind w:left="0"/>
        <w:jc w:val="both"/>
        <w:rPr>
          <w:rFonts w:ascii="Arial" w:hAnsi="Arial" w:cs="Arial"/>
          <w:b/>
          <w:bCs/>
          <w:sz w:val="18"/>
          <w:szCs w:val="18"/>
        </w:rPr>
      </w:pPr>
    </w:p>
    <w:p w14:paraId="0967C963" w14:textId="0757B5ED" w:rsidR="00F70495" w:rsidRPr="009E6CF2" w:rsidRDefault="00F70495" w:rsidP="009E6CF2">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 xml:space="preserve">Fortaleza financiera de la </w:t>
      </w:r>
      <w:r w:rsidR="00F0712A">
        <w:rPr>
          <w:rFonts w:ascii="Arial" w:hAnsi="Arial" w:cs="Arial"/>
          <w:b/>
          <w:bCs/>
          <w:sz w:val="18"/>
          <w:szCs w:val="18"/>
        </w:rPr>
        <w:t>c</w:t>
      </w:r>
      <w:r w:rsidRPr="009E6CF2">
        <w:rPr>
          <w:rFonts w:ascii="Arial" w:hAnsi="Arial" w:cs="Arial"/>
          <w:b/>
          <w:bCs/>
          <w:sz w:val="18"/>
          <w:szCs w:val="18"/>
        </w:rPr>
        <w:t>ontraparte para el CVA y propia para el DVA.</w:t>
      </w:r>
    </w:p>
    <w:p w14:paraId="6DA595EE" w14:textId="77777777" w:rsidR="00F70495" w:rsidRPr="009E6CF2" w:rsidRDefault="00F70495" w:rsidP="009E6CF2">
      <w:pPr>
        <w:pStyle w:val="Prrafodelista"/>
        <w:pBdr>
          <w:left w:val="single" w:sz="4" w:space="1" w:color="auto"/>
        </w:pBdr>
        <w:ind w:left="0"/>
        <w:jc w:val="both"/>
        <w:rPr>
          <w:rFonts w:ascii="Arial" w:hAnsi="Arial" w:cs="Arial"/>
          <w:b/>
          <w:bCs/>
          <w:sz w:val="18"/>
          <w:szCs w:val="18"/>
        </w:rPr>
      </w:pPr>
    </w:p>
    <w:p w14:paraId="0475C9CB" w14:textId="77777777" w:rsidR="00F70495" w:rsidRPr="009E6CF2" w:rsidRDefault="00F70495" w:rsidP="009E6CF2">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Garantías asociadas a la operación.</w:t>
      </w:r>
    </w:p>
    <w:p w14:paraId="25B38F43" w14:textId="77777777" w:rsidR="00140AD4" w:rsidRPr="009E6CF2" w:rsidRDefault="00140AD4" w:rsidP="009E6CF2">
      <w:pPr>
        <w:pStyle w:val="Prrafodelista"/>
        <w:pBdr>
          <w:left w:val="single" w:sz="4" w:space="1" w:color="auto"/>
        </w:pBdr>
        <w:ind w:left="0"/>
        <w:jc w:val="both"/>
        <w:rPr>
          <w:rFonts w:ascii="Arial" w:hAnsi="Arial" w:cs="Arial"/>
          <w:b/>
          <w:bCs/>
          <w:sz w:val="18"/>
          <w:szCs w:val="18"/>
        </w:rPr>
      </w:pPr>
    </w:p>
    <w:p w14:paraId="6B39DBD6" w14:textId="3B09EE7A" w:rsidR="00140AD4" w:rsidRPr="009E6CF2" w:rsidRDefault="00140AD4" w:rsidP="009E6CF2">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Calificación de riesgo, cuando exista, otorgada por al menos una sociedad calificadora de riesgos reconocida internacionalmente o autorizada en Colombia, según corresponda.</w:t>
      </w:r>
    </w:p>
    <w:p w14:paraId="4761DD83" w14:textId="77777777" w:rsidR="004A5312" w:rsidRPr="009E6CF2" w:rsidRDefault="004A5312" w:rsidP="009E6CF2">
      <w:pPr>
        <w:pStyle w:val="Prrafodelista"/>
        <w:pBdr>
          <w:left w:val="single" w:sz="4" w:space="1" w:color="auto"/>
        </w:pBdr>
        <w:ind w:left="0"/>
        <w:jc w:val="both"/>
        <w:rPr>
          <w:rFonts w:ascii="Arial" w:hAnsi="Arial" w:cs="Arial"/>
          <w:b/>
          <w:bCs/>
          <w:sz w:val="18"/>
          <w:szCs w:val="18"/>
        </w:rPr>
      </w:pPr>
    </w:p>
    <w:p w14:paraId="7F62049E" w14:textId="7FA5C6A7" w:rsidR="004A5312" w:rsidRPr="009E6CF2" w:rsidRDefault="004A5312" w:rsidP="009E6CF2">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 xml:space="preserve">Circunstancias o eventos exógenos que puedan afectar la capacidad de pago y el cumplimiento de obligaciones: de la </w:t>
      </w:r>
      <w:r w:rsidR="00F0712A">
        <w:rPr>
          <w:rFonts w:ascii="Arial" w:hAnsi="Arial" w:cs="Arial"/>
          <w:b/>
          <w:bCs/>
          <w:sz w:val="18"/>
          <w:szCs w:val="18"/>
        </w:rPr>
        <w:t>c</w:t>
      </w:r>
      <w:r w:rsidRPr="009E6CF2">
        <w:rPr>
          <w:rFonts w:ascii="Arial" w:hAnsi="Arial" w:cs="Arial"/>
          <w:b/>
          <w:bCs/>
          <w:sz w:val="18"/>
          <w:szCs w:val="18"/>
        </w:rPr>
        <w:t>ontraparte para el CVA y propias para el DVA</w:t>
      </w:r>
      <w:r w:rsidR="00F0712A">
        <w:rPr>
          <w:rFonts w:ascii="Arial" w:hAnsi="Arial" w:cs="Arial"/>
          <w:b/>
          <w:bCs/>
          <w:sz w:val="18"/>
          <w:szCs w:val="18"/>
        </w:rPr>
        <w:t>.</w:t>
      </w:r>
    </w:p>
    <w:p w14:paraId="6E581DDA" w14:textId="77777777" w:rsidR="004A5312" w:rsidRPr="009E6CF2" w:rsidRDefault="004A5312" w:rsidP="009E6CF2">
      <w:pPr>
        <w:pStyle w:val="Prrafodelista"/>
        <w:pBdr>
          <w:left w:val="single" w:sz="4" w:space="1" w:color="auto"/>
        </w:pBdr>
        <w:ind w:left="0"/>
        <w:jc w:val="both"/>
        <w:rPr>
          <w:rFonts w:ascii="Arial" w:hAnsi="Arial" w:cs="Arial"/>
          <w:b/>
          <w:bCs/>
          <w:sz w:val="18"/>
          <w:szCs w:val="18"/>
        </w:rPr>
      </w:pPr>
    </w:p>
    <w:p w14:paraId="3E229EEA" w14:textId="1903BF80" w:rsidR="003B63D3" w:rsidRPr="00273EA3" w:rsidRDefault="004A5312" w:rsidP="00273EA3">
      <w:pPr>
        <w:pStyle w:val="Prrafodelista"/>
        <w:numPr>
          <w:ilvl w:val="0"/>
          <w:numId w:val="3"/>
        </w:numPr>
        <w:pBdr>
          <w:left w:val="single" w:sz="4" w:space="1" w:color="auto"/>
        </w:pBdr>
        <w:ind w:left="284" w:hanging="284"/>
        <w:jc w:val="both"/>
        <w:rPr>
          <w:rFonts w:ascii="Arial" w:hAnsi="Arial" w:cs="Arial"/>
          <w:b/>
          <w:bCs/>
          <w:sz w:val="18"/>
          <w:szCs w:val="18"/>
        </w:rPr>
      </w:pPr>
      <w:r w:rsidRPr="009E6CF2">
        <w:rPr>
          <w:rFonts w:ascii="Arial" w:hAnsi="Arial" w:cs="Arial"/>
          <w:b/>
          <w:bCs/>
          <w:sz w:val="18"/>
          <w:szCs w:val="18"/>
        </w:rPr>
        <w:t>Los demás que la entidad considere relevantes.</w:t>
      </w:r>
    </w:p>
    <w:sectPr w:rsidR="003B63D3" w:rsidRPr="00273EA3" w:rsidSect="00CA0833">
      <w:headerReference w:type="default" r:id="rId11"/>
      <w:pgSz w:w="12240" w:h="18720" w:code="14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C65F9" w14:textId="77777777" w:rsidR="006729D5" w:rsidRDefault="006729D5">
      <w:pPr>
        <w:spacing w:after="0" w:line="240" w:lineRule="auto"/>
      </w:pPr>
      <w:r>
        <w:separator/>
      </w:r>
    </w:p>
  </w:endnote>
  <w:endnote w:type="continuationSeparator" w:id="0">
    <w:p w14:paraId="357B09A8" w14:textId="77777777" w:rsidR="006729D5" w:rsidRDefault="006729D5">
      <w:pPr>
        <w:spacing w:after="0" w:line="240" w:lineRule="auto"/>
      </w:pPr>
      <w:r>
        <w:continuationSeparator/>
      </w:r>
    </w:p>
  </w:endnote>
  <w:endnote w:type="continuationNotice" w:id="1">
    <w:p w14:paraId="2752707D" w14:textId="77777777" w:rsidR="006729D5" w:rsidRDefault="006729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A3CC4" w14:textId="77777777" w:rsidR="006729D5" w:rsidRDefault="006729D5">
      <w:pPr>
        <w:spacing w:after="0" w:line="240" w:lineRule="auto"/>
      </w:pPr>
      <w:r>
        <w:separator/>
      </w:r>
    </w:p>
  </w:footnote>
  <w:footnote w:type="continuationSeparator" w:id="0">
    <w:p w14:paraId="77ECFCF8" w14:textId="77777777" w:rsidR="006729D5" w:rsidRDefault="006729D5">
      <w:pPr>
        <w:spacing w:after="0" w:line="240" w:lineRule="auto"/>
      </w:pPr>
      <w:r>
        <w:continuationSeparator/>
      </w:r>
    </w:p>
  </w:footnote>
  <w:footnote w:type="continuationNotice" w:id="1">
    <w:p w14:paraId="10D69CEE" w14:textId="77777777" w:rsidR="006729D5" w:rsidRDefault="006729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725254"/>
      <w:docPartObj>
        <w:docPartGallery w:val="Page Numbers (Top of Page)"/>
        <w:docPartUnique/>
      </w:docPartObj>
    </w:sdtPr>
    <w:sdtEndPr>
      <w:rPr>
        <w:rFonts w:ascii="Arial" w:hAnsi="Arial"/>
        <w:b/>
        <w:sz w:val="18"/>
        <w:szCs w:val="18"/>
      </w:rPr>
    </w:sdtEndPr>
    <w:sdtContent>
      <w:p w14:paraId="72D632CC" w14:textId="77777777" w:rsidR="00725C18" w:rsidRDefault="00725C18" w:rsidP="0020037F">
        <w:pPr>
          <w:pStyle w:val="Encabezado"/>
          <w:jc w:val="center"/>
          <w:rPr>
            <w:rFonts w:ascii="Arial" w:hAnsi="Arial" w:cs="Arial"/>
            <w:b/>
          </w:rPr>
        </w:pPr>
        <w:r>
          <w:rPr>
            <w:rFonts w:ascii="Arial" w:hAnsi="Arial" w:cs="Arial"/>
            <w:b/>
          </w:rPr>
          <w:t>SUPERINTENDENCIA FINANCIERA DE COLOMBIA</w:t>
        </w:r>
      </w:p>
      <w:p w14:paraId="1E679ECB" w14:textId="77777777" w:rsidR="00725C18" w:rsidRDefault="00725C18" w:rsidP="0020037F">
        <w:pPr>
          <w:pStyle w:val="Encabezado"/>
          <w:jc w:val="center"/>
          <w:rPr>
            <w:rFonts w:ascii="Arial" w:hAnsi="Arial" w:cs="Arial"/>
            <w:b/>
          </w:rPr>
        </w:pPr>
      </w:p>
      <w:p w14:paraId="08438DC4" w14:textId="77777777" w:rsidR="00725C18" w:rsidRDefault="00725C18" w:rsidP="0020037F">
        <w:pPr>
          <w:pStyle w:val="Encabezado"/>
          <w:jc w:val="both"/>
          <w:rPr>
            <w:rFonts w:ascii="Arial" w:hAnsi="Arial"/>
            <w:b/>
            <w:sz w:val="18"/>
            <w:szCs w:val="18"/>
          </w:rPr>
        </w:pPr>
        <w:r>
          <w:rPr>
            <w:rFonts w:ascii="Arial" w:hAnsi="Arial"/>
            <w:b/>
            <w:sz w:val="18"/>
            <w:szCs w:val="18"/>
          </w:rPr>
          <w:t>CAPÍTULO XXXI SISTEMA INTEGRAL DE ADMINISTRACIÓN DE RIESGOS (SIAR)</w:t>
        </w:r>
      </w:p>
      <w:p w14:paraId="22A25EA3" w14:textId="255FC910" w:rsidR="00725C18" w:rsidRDefault="00725C18">
        <w:pPr>
          <w:pStyle w:val="Encabezado"/>
          <w:rPr>
            <w:rFonts w:ascii="Arial" w:hAnsi="Arial"/>
            <w:b/>
            <w:sz w:val="18"/>
            <w:szCs w:val="18"/>
          </w:rPr>
        </w:pPr>
        <w:r w:rsidRPr="001E1485">
          <w:rPr>
            <w:rFonts w:ascii="Arial" w:hAnsi="Arial"/>
            <w:b/>
            <w:sz w:val="18"/>
            <w:szCs w:val="18"/>
          </w:rPr>
          <w:t xml:space="preserve">Página </w:t>
        </w:r>
        <w:r w:rsidR="00CA0833">
          <w:rPr>
            <w:rFonts w:ascii="Arial" w:hAnsi="Arial"/>
            <w:b/>
            <w:sz w:val="18"/>
            <w:szCs w:val="18"/>
          </w:rPr>
          <w:t>1</w:t>
        </w:r>
      </w:p>
    </w:sdtContent>
  </w:sdt>
  <w:p w14:paraId="4A15632A" w14:textId="77777777" w:rsidR="00725C18" w:rsidRPr="001E1485" w:rsidRDefault="00725C18">
    <w:pPr>
      <w:pStyle w:val="Encabezado"/>
      <w:rPr>
        <w:rFonts w:ascii="Arial" w:hAnsi="Arial"/>
        <w:b/>
        <w:sz w:val="18"/>
        <w:szCs w:val="18"/>
      </w:rPr>
    </w:pPr>
  </w:p>
  <w:p w14:paraId="318A14D4" w14:textId="77777777" w:rsidR="00725C18" w:rsidRDefault="0072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7562554"/>
      <w:docPartObj>
        <w:docPartGallery w:val="Page Numbers (Top of Page)"/>
        <w:docPartUnique/>
      </w:docPartObj>
    </w:sdtPr>
    <w:sdtEndPr>
      <w:rPr>
        <w:rFonts w:ascii="Arial" w:hAnsi="Arial"/>
        <w:b/>
        <w:sz w:val="18"/>
        <w:szCs w:val="18"/>
      </w:rPr>
    </w:sdtEndPr>
    <w:sdtContent>
      <w:p w14:paraId="331ABD7C" w14:textId="77777777" w:rsidR="00273EA3" w:rsidRDefault="00273EA3" w:rsidP="0020037F">
        <w:pPr>
          <w:pStyle w:val="Encabezado"/>
          <w:jc w:val="center"/>
          <w:rPr>
            <w:rFonts w:ascii="Arial" w:hAnsi="Arial" w:cs="Arial"/>
            <w:b/>
          </w:rPr>
        </w:pPr>
        <w:r>
          <w:rPr>
            <w:rFonts w:ascii="Arial" w:hAnsi="Arial" w:cs="Arial"/>
            <w:b/>
          </w:rPr>
          <w:t>SUPERINTENDENCIA FINANCIERA DE COLOMBIA</w:t>
        </w:r>
      </w:p>
      <w:p w14:paraId="23E407A1" w14:textId="77777777" w:rsidR="00273EA3" w:rsidRDefault="00273EA3" w:rsidP="0020037F">
        <w:pPr>
          <w:pStyle w:val="Encabezado"/>
          <w:jc w:val="center"/>
          <w:rPr>
            <w:rFonts w:ascii="Arial" w:hAnsi="Arial" w:cs="Arial"/>
            <w:b/>
          </w:rPr>
        </w:pPr>
      </w:p>
      <w:p w14:paraId="7E056D32" w14:textId="77777777" w:rsidR="00273EA3" w:rsidRDefault="00273EA3" w:rsidP="0020037F">
        <w:pPr>
          <w:pStyle w:val="Encabezado"/>
          <w:jc w:val="both"/>
          <w:rPr>
            <w:rFonts w:ascii="Arial" w:hAnsi="Arial"/>
            <w:b/>
            <w:sz w:val="18"/>
            <w:szCs w:val="18"/>
          </w:rPr>
        </w:pPr>
        <w:r>
          <w:rPr>
            <w:rFonts w:ascii="Arial" w:hAnsi="Arial"/>
            <w:b/>
            <w:sz w:val="18"/>
            <w:szCs w:val="18"/>
          </w:rPr>
          <w:t>CAPÍTULO XXXI SISTEMA INTEGRAL DE ADMINISTRACIÓN DE RIESGOS (SIAR)</w:t>
        </w:r>
      </w:p>
      <w:p w14:paraId="313B22D5" w14:textId="78D9EBE5" w:rsidR="00273EA3" w:rsidRDefault="00273EA3">
        <w:pPr>
          <w:pStyle w:val="Encabezado"/>
          <w:rPr>
            <w:rFonts w:ascii="Arial" w:hAnsi="Arial"/>
            <w:b/>
            <w:sz w:val="18"/>
            <w:szCs w:val="18"/>
          </w:rPr>
        </w:pPr>
        <w:r w:rsidRPr="001E1485">
          <w:rPr>
            <w:rFonts w:ascii="Arial" w:hAnsi="Arial"/>
            <w:b/>
            <w:sz w:val="18"/>
            <w:szCs w:val="18"/>
          </w:rPr>
          <w:t xml:space="preserve">Página </w:t>
        </w:r>
        <w:r>
          <w:rPr>
            <w:rFonts w:ascii="Arial" w:hAnsi="Arial"/>
            <w:b/>
            <w:sz w:val="18"/>
            <w:szCs w:val="18"/>
          </w:rPr>
          <w:t>2</w:t>
        </w:r>
      </w:p>
    </w:sdtContent>
  </w:sdt>
  <w:p w14:paraId="44B40F09" w14:textId="77777777" w:rsidR="00273EA3" w:rsidRPr="001E1485" w:rsidRDefault="00273EA3">
    <w:pPr>
      <w:pStyle w:val="Encabezado"/>
      <w:rPr>
        <w:rFonts w:ascii="Arial" w:hAnsi="Arial"/>
        <w:b/>
        <w:sz w:val="18"/>
        <w:szCs w:val="18"/>
      </w:rPr>
    </w:pPr>
  </w:p>
  <w:p w14:paraId="4AB194F3" w14:textId="77777777" w:rsidR="00273EA3" w:rsidRDefault="00273E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229E3"/>
    <w:multiLevelType w:val="multilevel"/>
    <w:tmpl w:val="877C07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sz w:val="18"/>
        <w:szCs w:val="18"/>
      </w:rPr>
    </w:lvl>
    <w:lvl w:ilvl="4">
      <w:start w:val="1"/>
      <w:numFmt w:val="decimal"/>
      <w:lvlText w:val="%1.%2.%3.%4.%5."/>
      <w:lvlJc w:val="left"/>
      <w:pPr>
        <w:ind w:left="122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C930C9C"/>
    <w:multiLevelType w:val="hybridMultilevel"/>
    <w:tmpl w:val="D52CA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713D7799"/>
    <w:multiLevelType w:val="hybridMultilevel"/>
    <w:tmpl w:val="15000A7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310205988">
    <w:abstractNumId w:val="0"/>
  </w:num>
  <w:num w:numId="2" w16cid:durableId="1197040175">
    <w:abstractNumId w:val="1"/>
  </w:num>
  <w:num w:numId="3" w16cid:durableId="1642684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990"/>
    <w:rsid w:val="00001C81"/>
    <w:rsid w:val="000220E1"/>
    <w:rsid w:val="00022A5E"/>
    <w:rsid w:val="00023087"/>
    <w:rsid w:val="00033158"/>
    <w:rsid w:val="0003382F"/>
    <w:rsid w:val="00036FE1"/>
    <w:rsid w:val="000405CF"/>
    <w:rsid w:val="00043780"/>
    <w:rsid w:val="0004392B"/>
    <w:rsid w:val="00051274"/>
    <w:rsid w:val="0005182C"/>
    <w:rsid w:val="0005505C"/>
    <w:rsid w:val="00060932"/>
    <w:rsid w:val="00060C9D"/>
    <w:rsid w:val="00071990"/>
    <w:rsid w:val="00086C5C"/>
    <w:rsid w:val="00091E94"/>
    <w:rsid w:val="000A2FBB"/>
    <w:rsid w:val="000A34C9"/>
    <w:rsid w:val="000E2A6A"/>
    <w:rsid w:val="000E7334"/>
    <w:rsid w:val="0010560E"/>
    <w:rsid w:val="00124A23"/>
    <w:rsid w:val="00125011"/>
    <w:rsid w:val="00130144"/>
    <w:rsid w:val="001320E4"/>
    <w:rsid w:val="001327C8"/>
    <w:rsid w:val="00132E21"/>
    <w:rsid w:val="00140AD4"/>
    <w:rsid w:val="00143FB8"/>
    <w:rsid w:val="001B6BC2"/>
    <w:rsid w:val="001C60E4"/>
    <w:rsid w:val="001C7962"/>
    <w:rsid w:val="001D0938"/>
    <w:rsid w:val="001F0300"/>
    <w:rsid w:val="0020037F"/>
    <w:rsid w:val="00232FCF"/>
    <w:rsid w:val="00243576"/>
    <w:rsid w:val="002468C4"/>
    <w:rsid w:val="00272537"/>
    <w:rsid w:val="00273EA3"/>
    <w:rsid w:val="00283E3E"/>
    <w:rsid w:val="0028695B"/>
    <w:rsid w:val="002A3BEE"/>
    <w:rsid w:val="002A3E3D"/>
    <w:rsid w:val="002A49C4"/>
    <w:rsid w:val="002C0CAF"/>
    <w:rsid w:val="002C4CBC"/>
    <w:rsid w:val="002D72D1"/>
    <w:rsid w:val="002E0EA3"/>
    <w:rsid w:val="003159D0"/>
    <w:rsid w:val="003172B6"/>
    <w:rsid w:val="00325D23"/>
    <w:rsid w:val="00332D72"/>
    <w:rsid w:val="003335F6"/>
    <w:rsid w:val="00342EDC"/>
    <w:rsid w:val="00347A7E"/>
    <w:rsid w:val="003A6571"/>
    <w:rsid w:val="003B63D3"/>
    <w:rsid w:val="003B759C"/>
    <w:rsid w:val="003C0A52"/>
    <w:rsid w:val="003D779E"/>
    <w:rsid w:val="003F3A6D"/>
    <w:rsid w:val="00407290"/>
    <w:rsid w:val="00407BF7"/>
    <w:rsid w:val="004135D4"/>
    <w:rsid w:val="00417EC7"/>
    <w:rsid w:val="004265DC"/>
    <w:rsid w:val="00427942"/>
    <w:rsid w:val="00432E73"/>
    <w:rsid w:val="00443DCE"/>
    <w:rsid w:val="00445A43"/>
    <w:rsid w:val="004634DD"/>
    <w:rsid w:val="00492F41"/>
    <w:rsid w:val="0049487B"/>
    <w:rsid w:val="004A5312"/>
    <w:rsid w:val="004E62AA"/>
    <w:rsid w:val="0051022E"/>
    <w:rsid w:val="005167F1"/>
    <w:rsid w:val="005173D1"/>
    <w:rsid w:val="005174FF"/>
    <w:rsid w:val="005410B1"/>
    <w:rsid w:val="00545676"/>
    <w:rsid w:val="0055082D"/>
    <w:rsid w:val="00553317"/>
    <w:rsid w:val="00561004"/>
    <w:rsid w:val="005729DD"/>
    <w:rsid w:val="005867BB"/>
    <w:rsid w:val="00591389"/>
    <w:rsid w:val="005956E1"/>
    <w:rsid w:val="005A329B"/>
    <w:rsid w:val="005C5DF6"/>
    <w:rsid w:val="005C769D"/>
    <w:rsid w:val="005F0010"/>
    <w:rsid w:val="005F4A8F"/>
    <w:rsid w:val="005F7D9B"/>
    <w:rsid w:val="00601F33"/>
    <w:rsid w:val="00602CE2"/>
    <w:rsid w:val="006039C0"/>
    <w:rsid w:val="00612E96"/>
    <w:rsid w:val="006164DF"/>
    <w:rsid w:val="00617517"/>
    <w:rsid w:val="00635850"/>
    <w:rsid w:val="0065510C"/>
    <w:rsid w:val="00655E4B"/>
    <w:rsid w:val="006729D5"/>
    <w:rsid w:val="006759F5"/>
    <w:rsid w:val="00684361"/>
    <w:rsid w:val="006864F3"/>
    <w:rsid w:val="006872F7"/>
    <w:rsid w:val="006B6527"/>
    <w:rsid w:val="006E0DBF"/>
    <w:rsid w:val="006F380F"/>
    <w:rsid w:val="00706836"/>
    <w:rsid w:val="00707A40"/>
    <w:rsid w:val="0072225B"/>
    <w:rsid w:val="00724355"/>
    <w:rsid w:val="00725AE4"/>
    <w:rsid w:val="00725C18"/>
    <w:rsid w:val="00742FC0"/>
    <w:rsid w:val="007642DC"/>
    <w:rsid w:val="007731AF"/>
    <w:rsid w:val="007C0647"/>
    <w:rsid w:val="007C664E"/>
    <w:rsid w:val="007D7A02"/>
    <w:rsid w:val="00835B81"/>
    <w:rsid w:val="00874C4C"/>
    <w:rsid w:val="00876761"/>
    <w:rsid w:val="0089167E"/>
    <w:rsid w:val="008938EE"/>
    <w:rsid w:val="008A18BC"/>
    <w:rsid w:val="008A19D3"/>
    <w:rsid w:val="008B1D1E"/>
    <w:rsid w:val="008C254F"/>
    <w:rsid w:val="008C4CE2"/>
    <w:rsid w:val="008D2058"/>
    <w:rsid w:val="008D4310"/>
    <w:rsid w:val="008E0B00"/>
    <w:rsid w:val="008E1CD9"/>
    <w:rsid w:val="008E3C5A"/>
    <w:rsid w:val="008F1A81"/>
    <w:rsid w:val="009163ED"/>
    <w:rsid w:val="00916ABE"/>
    <w:rsid w:val="00922864"/>
    <w:rsid w:val="009802A5"/>
    <w:rsid w:val="00982601"/>
    <w:rsid w:val="0098281E"/>
    <w:rsid w:val="00994A15"/>
    <w:rsid w:val="00997435"/>
    <w:rsid w:val="009A4FEC"/>
    <w:rsid w:val="009D57A9"/>
    <w:rsid w:val="009D75F9"/>
    <w:rsid w:val="009E22C4"/>
    <w:rsid w:val="009E642A"/>
    <w:rsid w:val="009E6CF2"/>
    <w:rsid w:val="009E745E"/>
    <w:rsid w:val="009F3EAD"/>
    <w:rsid w:val="00A15867"/>
    <w:rsid w:val="00A217A8"/>
    <w:rsid w:val="00A34351"/>
    <w:rsid w:val="00A42C6E"/>
    <w:rsid w:val="00A4698D"/>
    <w:rsid w:val="00A63AE5"/>
    <w:rsid w:val="00A940D6"/>
    <w:rsid w:val="00AA1DD2"/>
    <w:rsid w:val="00AC5F7E"/>
    <w:rsid w:val="00AD0315"/>
    <w:rsid w:val="00AD4C39"/>
    <w:rsid w:val="00AE13A4"/>
    <w:rsid w:val="00B4237D"/>
    <w:rsid w:val="00B55618"/>
    <w:rsid w:val="00B60DC8"/>
    <w:rsid w:val="00B63C9B"/>
    <w:rsid w:val="00B645BB"/>
    <w:rsid w:val="00B6745F"/>
    <w:rsid w:val="00B7231B"/>
    <w:rsid w:val="00B8565A"/>
    <w:rsid w:val="00B91AFD"/>
    <w:rsid w:val="00BA40D2"/>
    <w:rsid w:val="00BC34E6"/>
    <w:rsid w:val="00BD06F5"/>
    <w:rsid w:val="00BE2584"/>
    <w:rsid w:val="00BE525C"/>
    <w:rsid w:val="00BF0D0E"/>
    <w:rsid w:val="00C1077C"/>
    <w:rsid w:val="00C11031"/>
    <w:rsid w:val="00C13260"/>
    <w:rsid w:val="00C22A8F"/>
    <w:rsid w:val="00C26B87"/>
    <w:rsid w:val="00C33DE6"/>
    <w:rsid w:val="00C34258"/>
    <w:rsid w:val="00C4160D"/>
    <w:rsid w:val="00C520BB"/>
    <w:rsid w:val="00C6665B"/>
    <w:rsid w:val="00C7374E"/>
    <w:rsid w:val="00C94EEC"/>
    <w:rsid w:val="00CA0833"/>
    <w:rsid w:val="00CB3331"/>
    <w:rsid w:val="00CC15A9"/>
    <w:rsid w:val="00CD41B2"/>
    <w:rsid w:val="00CD6B17"/>
    <w:rsid w:val="00CE0295"/>
    <w:rsid w:val="00CF695A"/>
    <w:rsid w:val="00D10B79"/>
    <w:rsid w:val="00D26CED"/>
    <w:rsid w:val="00D439C9"/>
    <w:rsid w:val="00D43E81"/>
    <w:rsid w:val="00D71E79"/>
    <w:rsid w:val="00DA2F36"/>
    <w:rsid w:val="00DA55CF"/>
    <w:rsid w:val="00DA6530"/>
    <w:rsid w:val="00DA7FBD"/>
    <w:rsid w:val="00DB01AD"/>
    <w:rsid w:val="00DC6D61"/>
    <w:rsid w:val="00DD4F3D"/>
    <w:rsid w:val="00DE08ED"/>
    <w:rsid w:val="00DF357E"/>
    <w:rsid w:val="00E21D3D"/>
    <w:rsid w:val="00E477A6"/>
    <w:rsid w:val="00E52F49"/>
    <w:rsid w:val="00E62EEE"/>
    <w:rsid w:val="00E712E0"/>
    <w:rsid w:val="00E73482"/>
    <w:rsid w:val="00E75620"/>
    <w:rsid w:val="00E757D8"/>
    <w:rsid w:val="00E974C8"/>
    <w:rsid w:val="00E97F7A"/>
    <w:rsid w:val="00ED5671"/>
    <w:rsid w:val="00EE2400"/>
    <w:rsid w:val="00EF2996"/>
    <w:rsid w:val="00EF5469"/>
    <w:rsid w:val="00EF5473"/>
    <w:rsid w:val="00F02CA0"/>
    <w:rsid w:val="00F06D8E"/>
    <w:rsid w:val="00F0712A"/>
    <w:rsid w:val="00F10EB1"/>
    <w:rsid w:val="00F10F31"/>
    <w:rsid w:val="00F1584B"/>
    <w:rsid w:val="00F70495"/>
    <w:rsid w:val="00F8379B"/>
    <w:rsid w:val="00F85393"/>
    <w:rsid w:val="00F91AAF"/>
    <w:rsid w:val="00FB2483"/>
    <w:rsid w:val="00FD127C"/>
    <w:rsid w:val="00FF1869"/>
    <w:rsid w:val="00FF7FDE"/>
    <w:rsid w:val="07CA14D9"/>
    <w:rsid w:val="0BD65E51"/>
    <w:rsid w:val="1B69B77A"/>
    <w:rsid w:val="1F463BE2"/>
    <w:rsid w:val="22110BDC"/>
    <w:rsid w:val="22B558CC"/>
    <w:rsid w:val="26C95BBC"/>
    <w:rsid w:val="27B53129"/>
    <w:rsid w:val="28B9CA4C"/>
    <w:rsid w:val="2A00FC7E"/>
    <w:rsid w:val="2A9B39C2"/>
    <w:rsid w:val="2B9CCCDF"/>
    <w:rsid w:val="31978941"/>
    <w:rsid w:val="36E41130"/>
    <w:rsid w:val="3BD70C93"/>
    <w:rsid w:val="3C1215B1"/>
    <w:rsid w:val="3DCF2FCD"/>
    <w:rsid w:val="44D50F15"/>
    <w:rsid w:val="4676A4A1"/>
    <w:rsid w:val="47B71589"/>
    <w:rsid w:val="4952E5EA"/>
    <w:rsid w:val="4C7A505C"/>
    <w:rsid w:val="502A96F6"/>
    <w:rsid w:val="5042C700"/>
    <w:rsid w:val="5241FBA8"/>
    <w:rsid w:val="535A05C7"/>
    <w:rsid w:val="5AFD6374"/>
    <w:rsid w:val="61474CDC"/>
    <w:rsid w:val="6189CA2F"/>
    <w:rsid w:val="636C26AA"/>
    <w:rsid w:val="6706C7E2"/>
    <w:rsid w:val="68E6AA14"/>
    <w:rsid w:val="72EF890F"/>
    <w:rsid w:val="75490B7C"/>
    <w:rsid w:val="7F4B4A87"/>
    <w:rsid w:val="7FBBFC8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6A4D"/>
  <w15:chartTrackingRefBased/>
  <w15:docId w15:val="{2C44301D-56B3-4CA3-AC87-1240BEF1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99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qFormat/>
    <w:rsid w:val="00071990"/>
    <w:pPr>
      <w:ind w:left="720"/>
      <w:contextualSpacing/>
    </w:pPr>
  </w:style>
  <w:style w:type="character" w:customStyle="1" w:styleId="PrrafodelistaCar">
    <w:name w:val="Párrafo de lista Car"/>
    <w:link w:val="Prrafodelista"/>
    <w:locked/>
    <w:rsid w:val="00071990"/>
  </w:style>
  <w:style w:type="paragraph" w:styleId="Ttulo">
    <w:name w:val="Title"/>
    <w:basedOn w:val="Normal"/>
    <w:next w:val="Normal"/>
    <w:link w:val="TtuloCar"/>
    <w:uiPriority w:val="10"/>
    <w:qFormat/>
    <w:rsid w:val="00071990"/>
    <w:pPr>
      <w:spacing w:after="0" w:line="240" w:lineRule="auto"/>
      <w:jc w:val="center"/>
    </w:pPr>
    <w:rPr>
      <w:rFonts w:ascii="Arial" w:hAnsi="Arial" w:cs="Arial"/>
      <w:b/>
      <w:bCs/>
      <w:sz w:val="18"/>
      <w:szCs w:val="18"/>
    </w:rPr>
  </w:style>
  <w:style w:type="character" w:customStyle="1" w:styleId="TtuloCar">
    <w:name w:val="Título Car"/>
    <w:basedOn w:val="Fuentedeprrafopredeter"/>
    <w:link w:val="Ttulo"/>
    <w:uiPriority w:val="10"/>
    <w:rsid w:val="00071990"/>
    <w:rPr>
      <w:rFonts w:ascii="Arial" w:hAnsi="Arial" w:cs="Arial"/>
      <w:b/>
      <w:bCs/>
      <w:sz w:val="18"/>
      <w:szCs w:val="18"/>
    </w:rPr>
  </w:style>
  <w:style w:type="paragraph" w:styleId="Revisin">
    <w:name w:val="Revision"/>
    <w:hidden/>
    <w:uiPriority w:val="99"/>
    <w:semiHidden/>
    <w:rsid w:val="007D7A02"/>
    <w:pPr>
      <w:spacing w:after="0" w:line="240" w:lineRule="auto"/>
    </w:pPr>
  </w:style>
  <w:style w:type="character" w:styleId="Textodelmarcadordeposicin">
    <w:name w:val="Placeholder Text"/>
    <w:basedOn w:val="Fuentedeprrafopredeter"/>
    <w:uiPriority w:val="99"/>
    <w:semiHidden/>
    <w:rsid w:val="00B91AFD"/>
    <w:rPr>
      <w:color w:val="808080"/>
    </w:rPr>
  </w:style>
  <w:style w:type="paragraph" w:styleId="Encabezado">
    <w:name w:val="header"/>
    <w:basedOn w:val="Normal"/>
    <w:link w:val="EncabezadoCar"/>
    <w:uiPriority w:val="99"/>
    <w:unhideWhenUsed/>
    <w:rsid w:val="00140A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AD4"/>
  </w:style>
  <w:style w:type="paragraph" w:styleId="Piedepgina">
    <w:name w:val="footer"/>
    <w:basedOn w:val="Normal"/>
    <w:link w:val="PiedepginaCar"/>
    <w:uiPriority w:val="99"/>
    <w:unhideWhenUsed/>
    <w:rsid w:val="008938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38EE"/>
  </w:style>
  <w:style w:type="character" w:styleId="Refdecomentario">
    <w:name w:val="annotation reference"/>
    <w:basedOn w:val="Fuentedeprrafopredeter"/>
    <w:uiPriority w:val="99"/>
    <w:semiHidden/>
    <w:unhideWhenUsed/>
    <w:rsid w:val="00A217A8"/>
    <w:rPr>
      <w:sz w:val="16"/>
      <w:szCs w:val="16"/>
    </w:rPr>
  </w:style>
  <w:style w:type="paragraph" w:styleId="Textocomentario">
    <w:name w:val="annotation text"/>
    <w:basedOn w:val="Normal"/>
    <w:link w:val="TextocomentarioCar"/>
    <w:uiPriority w:val="99"/>
    <w:unhideWhenUsed/>
    <w:rsid w:val="00A217A8"/>
    <w:pPr>
      <w:spacing w:line="240" w:lineRule="auto"/>
    </w:pPr>
    <w:rPr>
      <w:sz w:val="20"/>
      <w:szCs w:val="20"/>
    </w:rPr>
  </w:style>
  <w:style w:type="character" w:customStyle="1" w:styleId="TextocomentarioCar">
    <w:name w:val="Texto comentario Car"/>
    <w:basedOn w:val="Fuentedeprrafopredeter"/>
    <w:link w:val="Textocomentario"/>
    <w:uiPriority w:val="99"/>
    <w:rsid w:val="00A217A8"/>
    <w:rPr>
      <w:sz w:val="20"/>
      <w:szCs w:val="20"/>
    </w:rPr>
  </w:style>
  <w:style w:type="paragraph" w:styleId="Asuntodelcomentario">
    <w:name w:val="annotation subject"/>
    <w:basedOn w:val="Textocomentario"/>
    <w:next w:val="Textocomentario"/>
    <w:link w:val="AsuntodelcomentarioCar"/>
    <w:uiPriority w:val="99"/>
    <w:semiHidden/>
    <w:unhideWhenUsed/>
    <w:rsid w:val="00A217A8"/>
    <w:rPr>
      <w:b/>
      <w:bCs/>
    </w:rPr>
  </w:style>
  <w:style w:type="character" w:customStyle="1" w:styleId="AsuntodelcomentarioCar">
    <w:name w:val="Asunto del comentario Car"/>
    <w:basedOn w:val="TextocomentarioCar"/>
    <w:link w:val="Asuntodelcomentario"/>
    <w:uiPriority w:val="99"/>
    <w:semiHidden/>
    <w:rsid w:val="00A217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3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05DCDAF3D1A1438C784F85EF0C3FA1" ma:contentTypeVersion="4" ma:contentTypeDescription="Create a new document." ma:contentTypeScope="" ma:versionID="dc7aa49c9585e0cbb707029da1efe803">
  <xsd:schema xmlns:xsd="http://www.w3.org/2001/XMLSchema" xmlns:xs="http://www.w3.org/2001/XMLSchema" xmlns:p="http://schemas.microsoft.com/office/2006/metadata/properties" xmlns:ns2="44272bf5-de8b-4ea8-a174-5a41ad6f509a" xmlns:ns3="b3935df5-1e7b-4217-ac25-9dfde29d48c8" targetNamespace="http://schemas.microsoft.com/office/2006/metadata/properties" ma:root="true" ma:fieldsID="f0a09138265da60f8663b967f8f98c11" ns2:_="" ns3:_="">
    <xsd:import namespace="44272bf5-de8b-4ea8-a174-5a41ad6f509a"/>
    <xsd:import namespace="b3935df5-1e7b-4217-ac25-9dfde29d4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72bf5-de8b-4ea8-a174-5a41ad6f5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935df5-1e7b-4217-ac25-9dfde29d48c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62C5BC-BB6F-49FC-BF43-122F8EEBCAA1}">
  <ds:schemaRefs>
    <ds:schemaRef ds:uri="http://schemas.microsoft.com/sharepoint/v3/contenttype/forms"/>
  </ds:schemaRefs>
</ds:datastoreItem>
</file>

<file path=customXml/itemProps2.xml><?xml version="1.0" encoding="utf-8"?>
<ds:datastoreItem xmlns:ds="http://schemas.openxmlformats.org/officeDocument/2006/customXml" ds:itemID="{E5A709B0-3E05-449D-9605-C6932788E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72bf5-de8b-4ea8-a174-5a41ad6f509a"/>
    <ds:schemaRef ds:uri="b3935df5-1e7b-4217-ac25-9dfde29d4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1F5001-DB02-40FF-A9FE-184456DB702B}">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 ds:uri="b3935df5-1e7b-4217-ac25-9dfde29d48c8"/>
    <ds:schemaRef ds:uri="44272bf5-de8b-4ea8-a174-5a41ad6f509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1115</Words>
  <Characters>6136</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Bernardo Caicedo Guillen</dc:creator>
  <cp:keywords/>
  <dc:description/>
  <cp:lastModifiedBy>Juan Bernardo Caicedo Guillen</cp:lastModifiedBy>
  <cp:revision>2</cp:revision>
  <dcterms:created xsi:type="dcterms:W3CDTF">2023-06-26T20:47:00Z</dcterms:created>
  <dcterms:modified xsi:type="dcterms:W3CDTF">2023-06-26T20:47:00Z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0x0101000B05DCDAF3D1A1438C784F85EF0C3FA1</vt:lpwstr>
  </property>
</Properties>
</file>